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 xml:space="preserve">《地理标志产品 </w:t>
      </w:r>
      <w:r>
        <w:rPr>
          <w:rFonts w:hint="default" w:ascii="Times New Roman" w:hAnsi="Times New Roman" w:eastAsia="仿宋_GB2312" w:cs="Times New Roman"/>
          <w:b/>
          <w:bCs/>
          <w:sz w:val="36"/>
          <w:szCs w:val="36"/>
          <w:lang w:val="en-US" w:eastAsia="zh-CN"/>
        </w:rPr>
        <w:t>宜春野茶油</w:t>
      </w:r>
      <w:r>
        <w:rPr>
          <w:rFonts w:hint="default" w:ascii="Times New Roman" w:hAnsi="Times New Roman" w:eastAsia="仿宋_GB2312" w:cs="Times New Roman"/>
          <w:b/>
          <w:bCs/>
          <w:sz w:val="36"/>
          <w:szCs w:val="36"/>
        </w:rPr>
        <w:t>》</w:t>
      </w:r>
    </w:p>
    <w:p>
      <w:pPr>
        <w:jc w:val="center"/>
        <w:rPr>
          <w:rFonts w:hint="default" w:ascii="Times New Roman" w:hAnsi="Times New Roman" w:eastAsia="仿宋_GB2312" w:cs="Times New Roman"/>
          <w:b/>
          <w:bCs/>
          <w:sz w:val="36"/>
          <w:szCs w:val="36"/>
          <w:lang w:val="en-US" w:eastAsia="zh-CN"/>
        </w:rPr>
      </w:pPr>
      <w:r>
        <w:rPr>
          <w:rFonts w:hint="default" w:ascii="Times New Roman" w:hAnsi="Times New Roman" w:eastAsia="仿宋_GB2312" w:cs="Times New Roman"/>
          <w:b/>
          <w:bCs/>
          <w:sz w:val="36"/>
          <w:szCs w:val="36"/>
          <w:lang w:val="en-US" w:eastAsia="zh-CN"/>
        </w:rPr>
        <w:t>江西省地方标准</w:t>
      </w:r>
      <w:r>
        <w:rPr>
          <w:rFonts w:hint="default" w:ascii="Times New Roman" w:hAnsi="Times New Roman" w:eastAsia="仿宋_GB2312" w:cs="Times New Roman"/>
          <w:b/>
          <w:bCs/>
          <w:sz w:val="36"/>
          <w:szCs w:val="36"/>
        </w:rPr>
        <w:t>编制说明</w:t>
      </w:r>
      <w:r>
        <w:rPr>
          <w:rFonts w:hint="default" w:ascii="Times New Roman" w:hAnsi="Times New Roman" w:eastAsia="仿宋_GB2312" w:cs="Times New Roman"/>
          <w:b/>
          <w:bCs/>
          <w:sz w:val="36"/>
          <w:szCs w:val="36"/>
          <w:lang w:eastAsia="zh-CN"/>
        </w:rPr>
        <w:t>（</w:t>
      </w:r>
      <w:r>
        <w:rPr>
          <w:rFonts w:hint="default" w:ascii="Times New Roman" w:hAnsi="Times New Roman" w:eastAsia="仿宋_GB2312" w:cs="Times New Roman"/>
          <w:b/>
          <w:bCs/>
          <w:sz w:val="36"/>
          <w:szCs w:val="36"/>
          <w:lang w:val="en-US" w:eastAsia="zh-CN"/>
        </w:rPr>
        <w:t>征求意见阶段</w:t>
      </w:r>
      <w:r>
        <w:rPr>
          <w:rFonts w:hint="default" w:ascii="Times New Roman" w:hAnsi="Times New Roman" w:eastAsia="仿宋_GB2312" w:cs="Times New Roman"/>
          <w:b/>
          <w:bCs/>
          <w:sz w:val="36"/>
          <w:szCs w:val="36"/>
          <w:lang w:eastAsia="zh-CN"/>
        </w:rPr>
        <w:t>）</w:t>
      </w:r>
    </w:p>
    <w:p>
      <w:pPr>
        <w:numPr>
          <w:ilvl w:val="0"/>
          <w:numId w:val="1"/>
        </w:numPr>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工作简况</w:t>
      </w:r>
    </w:p>
    <w:p>
      <w:pPr>
        <w:widowControl w:val="0"/>
        <w:numPr>
          <w:ilvl w:val="0"/>
          <w:numId w:val="2"/>
        </w:numPr>
        <w:jc w:val="both"/>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任务来源</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 w:cs="Times New Roman"/>
          <w:sz w:val="32"/>
          <w:szCs w:val="32"/>
          <w:lang w:val="zh-TW"/>
        </w:rPr>
      </w:pPr>
      <w:r>
        <w:rPr>
          <w:rFonts w:hint="default" w:ascii="Times New Roman" w:hAnsi="Times New Roman" w:eastAsia="仿宋" w:cs="Times New Roman"/>
          <w:sz w:val="32"/>
          <w:szCs w:val="32"/>
          <w:lang w:val="zh-TW"/>
        </w:rPr>
        <w:t>本标准的</w:t>
      </w:r>
      <w:r>
        <w:rPr>
          <w:rFonts w:hint="default" w:ascii="Times New Roman" w:hAnsi="Times New Roman" w:eastAsia="仿宋" w:cs="Times New Roman"/>
          <w:sz w:val="32"/>
          <w:szCs w:val="32"/>
          <w:lang w:val="zh-TW" w:eastAsia="zh-CN"/>
        </w:rPr>
        <w:t>制定</w:t>
      </w:r>
      <w:r>
        <w:rPr>
          <w:rFonts w:hint="default" w:ascii="Times New Roman" w:hAnsi="Times New Roman" w:eastAsia="仿宋" w:cs="Times New Roman"/>
          <w:sz w:val="32"/>
          <w:szCs w:val="32"/>
          <w:lang w:val="zh-TW"/>
        </w:rPr>
        <w:t>任务来源于江西省</w:t>
      </w:r>
      <w:r>
        <w:rPr>
          <w:rFonts w:hint="default" w:ascii="Times New Roman" w:hAnsi="Times New Roman" w:eastAsia="仿宋" w:cs="Times New Roman"/>
          <w:sz w:val="32"/>
          <w:szCs w:val="32"/>
          <w:lang w:val="zh-TW" w:eastAsia="zh-CN"/>
        </w:rPr>
        <w:t>市场监督管理局标准化处</w:t>
      </w:r>
      <w:r>
        <w:rPr>
          <w:rFonts w:hint="default" w:ascii="Times New Roman" w:hAnsi="Times New Roman" w:eastAsia="仿宋" w:cs="Times New Roman"/>
          <w:sz w:val="32"/>
          <w:szCs w:val="32"/>
          <w:lang w:val="zh-TW"/>
        </w:rPr>
        <w:t>文件《关于下达202</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lang w:val="zh-TW"/>
        </w:rPr>
        <w:t>年第</w:t>
      </w:r>
      <w:r>
        <w:rPr>
          <w:rFonts w:hint="default" w:ascii="Times New Roman" w:hAnsi="Times New Roman" w:eastAsia="仿宋" w:cs="Times New Roman"/>
          <w:sz w:val="32"/>
          <w:szCs w:val="32"/>
          <w:lang w:val="en-US" w:eastAsia="zh-CN"/>
        </w:rPr>
        <w:t>三</w:t>
      </w:r>
      <w:r>
        <w:rPr>
          <w:rFonts w:hint="default" w:ascii="Times New Roman" w:hAnsi="Times New Roman" w:eastAsia="仿宋" w:cs="Times New Roman"/>
          <w:sz w:val="32"/>
          <w:szCs w:val="32"/>
          <w:lang w:val="zh-TW"/>
        </w:rPr>
        <w:t>批江西省地方标准制修订计划的通知》，</w:t>
      </w:r>
      <w:r>
        <w:rPr>
          <w:rFonts w:hint="default" w:ascii="Times New Roman" w:hAnsi="Times New Roman" w:eastAsia="仿宋" w:cs="Times New Roman"/>
          <w:sz w:val="32"/>
          <w:szCs w:val="32"/>
          <w:lang w:val="en-US" w:eastAsia="zh-CN"/>
        </w:rPr>
        <w:t>标准计划号：DB36-2024-3-22。</w:t>
      </w:r>
      <w:r>
        <w:rPr>
          <w:rFonts w:hint="default" w:ascii="Times New Roman" w:hAnsi="Times New Roman" w:eastAsia="仿宋" w:cs="Times New Roman"/>
          <w:sz w:val="32"/>
          <w:szCs w:val="32"/>
          <w:lang w:val="zh-TW"/>
        </w:rPr>
        <w:t>按</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中华人民共和国标准化法</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江西省标准化条例</w:t>
      </w:r>
      <w:r>
        <w:rPr>
          <w:rFonts w:hint="default" w:ascii="Times New Roman" w:hAnsi="Times New Roman" w:eastAsia="仿宋" w:cs="Times New Roman"/>
          <w:sz w:val="32"/>
          <w:szCs w:val="32"/>
          <w:lang w:val="zh-TW" w:eastAsia="zh-CN"/>
        </w:rPr>
        <w:t>》《江西省地方标准管理办法》</w:t>
      </w:r>
      <w:r>
        <w:rPr>
          <w:rFonts w:hint="default" w:ascii="Times New Roman" w:hAnsi="Times New Roman" w:eastAsia="仿宋" w:cs="Times New Roman"/>
          <w:sz w:val="32"/>
          <w:szCs w:val="32"/>
          <w:lang w:val="en-US" w:eastAsia="zh-CN"/>
        </w:rPr>
        <w:t>要求</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zh-TW"/>
        </w:rPr>
        <w:t>为有效保护</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lang w:val="zh-TW"/>
        </w:rPr>
        <w:t>地理标志保护产品，进一步做大做强</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lang w:val="zh-TW"/>
        </w:rPr>
        <w:t>这一地方特色产品产业，根据《地理标志产品保护规定》</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地理标志产品保护办法</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地理标志专用标志使用管理办法（试行）</w:t>
      </w:r>
      <w:r>
        <w:rPr>
          <w:rFonts w:hint="default" w:ascii="Times New Roman" w:hAnsi="Times New Roman" w:eastAsia="仿宋" w:cs="Times New Roman"/>
          <w:sz w:val="32"/>
          <w:szCs w:val="32"/>
          <w:lang w:val="zh-TW" w:eastAsia="zh-CN"/>
        </w:rPr>
        <w:t>》《国家质量监督检验检疫总局公告</w:t>
      </w:r>
      <w:r>
        <w:rPr>
          <w:rFonts w:hint="default" w:ascii="Times New Roman" w:hAnsi="Times New Roman" w:eastAsia="仿宋" w:cs="Times New Roman"/>
          <w:sz w:val="32"/>
          <w:szCs w:val="32"/>
          <w:lang w:val="en-US" w:eastAsia="zh-CN"/>
        </w:rPr>
        <w:t>2005</w:t>
      </w:r>
      <w:r>
        <w:rPr>
          <w:rFonts w:hint="default" w:ascii="Times New Roman" w:hAnsi="Times New Roman" w:eastAsia="仿宋" w:cs="Times New Roman"/>
          <w:sz w:val="32"/>
          <w:szCs w:val="32"/>
          <w:lang w:val="zh-TW" w:eastAsia="zh-CN"/>
        </w:rPr>
        <w:t>年第</w:t>
      </w:r>
      <w:r>
        <w:rPr>
          <w:rFonts w:hint="default"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lang w:val="zh-TW" w:eastAsia="zh-CN"/>
        </w:rPr>
        <w:t>号》，</w:t>
      </w:r>
      <w:r>
        <w:rPr>
          <w:rFonts w:hint="default" w:ascii="Times New Roman" w:hAnsi="Times New Roman" w:eastAsia="仿宋" w:cs="Times New Roman"/>
          <w:sz w:val="32"/>
          <w:szCs w:val="32"/>
          <w:lang w:val="zh-TW"/>
        </w:rPr>
        <w:t>结合我</w:t>
      </w:r>
      <w:r>
        <w:rPr>
          <w:rFonts w:hint="default" w:ascii="Times New Roman" w:hAnsi="Times New Roman" w:eastAsia="仿宋" w:cs="Times New Roman"/>
          <w:sz w:val="32"/>
          <w:szCs w:val="32"/>
          <w:lang w:val="en-US" w:eastAsia="zh-CN"/>
        </w:rPr>
        <w:t>省宜春野茶油</w:t>
      </w:r>
      <w:r>
        <w:rPr>
          <w:rFonts w:hint="default" w:ascii="Times New Roman" w:hAnsi="Times New Roman" w:eastAsia="仿宋" w:cs="Times New Roman"/>
          <w:sz w:val="32"/>
          <w:szCs w:val="32"/>
          <w:lang w:val="zh-TW"/>
        </w:rPr>
        <w:t xml:space="preserve">发展现状的需要，对江西省地方标准《地理标志产品 </w:t>
      </w:r>
      <w:r>
        <w:rPr>
          <w:rFonts w:hint="default" w:ascii="Times New Roman" w:hAnsi="Times New Roman" w:eastAsia="仿宋" w:cs="Times New Roman"/>
          <w:sz w:val="32"/>
          <w:szCs w:val="32"/>
          <w:lang w:val="zh-TW" w:eastAsia="zh-CN"/>
        </w:rPr>
        <w:t>宜春野茶油</w:t>
      </w:r>
      <w:r>
        <w:rPr>
          <w:rFonts w:hint="default" w:ascii="Times New Roman" w:hAnsi="Times New Roman" w:eastAsia="仿宋" w:cs="Times New Roman"/>
          <w:sz w:val="32"/>
          <w:szCs w:val="32"/>
          <w:lang w:val="zh-TW"/>
        </w:rPr>
        <w:t>》进行</w:t>
      </w:r>
      <w:r>
        <w:rPr>
          <w:rFonts w:hint="default" w:ascii="Times New Roman" w:hAnsi="Times New Roman" w:eastAsia="仿宋" w:cs="Times New Roman"/>
          <w:sz w:val="32"/>
          <w:szCs w:val="32"/>
          <w:lang w:val="en-US" w:eastAsia="zh-CN"/>
        </w:rPr>
        <w:t>制定</w:t>
      </w:r>
      <w:r>
        <w:rPr>
          <w:rFonts w:hint="default" w:ascii="Times New Roman" w:hAnsi="Times New Roman" w:eastAsia="仿宋" w:cs="Times New Roman"/>
          <w:sz w:val="32"/>
          <w:szCs w:val="32"/>
          <w:lang w:val="zh-TW"/>
        </w:rPr>
        <w:t>。</w:t>
      </w:r>
    </w:p>
    <w:p>
      <w:pPr>
        <w:spacing w:line="460" w:lineRule="exact"/>
        <w:ind w:firstLine="482" w:firstLineChars="150"/>
        <w:rPr>
          <w:rFonts w:hint="default" w:ascii="Times New Roman" w:hAnsi="Times New Roman" w:eastAsia="楷体" w:cs="Times New Roman"/>
          <w:sz w:val="32"/>
          <w:szCs w:val="32"/>
        </w:rPr>
      </w:pPr>
      <w:r>
        <w:rPr>
          <w:rFonts w:hint="default" w:ascii="Times New Roman" w:hAnsi="Times New Roman" w:eastAsia="仿宋" w:cs="Times New Roman"/>
          <w:b/>
          <w:bCs/>
          <w:sz w:val="32"/>
          <w:szCs w:val="32"/>
        </w:rPr>
        <w:t>（二）起草单位</w:t>
      </w:r>
      <w:r>
        <w:rPr>
          <w:rFonts w:hint="default" w:ascii="Times New Roman" w:hAnsi="Times New Roman" w:eastAsia="楷体" w:cs="Times New Roman"/>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仿宋" w:cs="Times New Roman"/>
          <w:sz w:val="32"/>
          <w:szCs w:val="32"/>
        </w:rPr>
        <w:t>起草单位：江西青龙高科油脂有限公司、</w:t>
      </w:r>
      <w:r>
        <w:rPr>
          <w:rFonts w:hint="default" w:ascii="Times New Roman" w:hAnsi="Times New Roman" w:eastAsia="仿宋" w:cs="Times New Roman"/>
          <w:sz w:val="32"/>
          <w:szCs w:val="32"/>
          <w:lang w:val="en-US" w:eastAsia="zh-CN"/>
        </w:rPr>
        <w:t>江西省质量和标准化研究院、南昌大学、宜春市市场监督管理局</w:t>
      </w:r>
      <w:r>
        <w:rPr>
          <w:rFonts w:hint="default" w:ascii="Times New Roman" w:hAnsi="Times New Roman" w:eastAsia="仿宋" w:cs="Times New Roman"/>
          <w:sz w:val="32"/>
          <w:szCs w:val="32"/>
          <w:lang w:val="zh-TW"/>
        </w:rPr>
        <w:t>。</w:t>
      </w:r>
    </w:p>
    <w:p>
      <w:pPr>
        <w:numPr>
          <w:ilvl w:val="0"/>
          <w:numId w:val="1"/>
        </w:numPr>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zh-CN" w:eastAsia="zh-CN"/>
        </w:rPr>
        <w:t>标准制定的意义和必要性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val="zh-TW"/>
        </w:rPr>
      </w:pPr>
      <w:r>
        <w:rPr>
          <w:rFonts w:hint="default" w:ascii="Times New Roman" w:hAnsi="Times New Roman" w:eastAsia="仿宋" w:cs="Times New Roman"/>
          <w:sz w:val="32"/>
          <w:szCs w:val="32"/>
          <w:lang w:val="zh-TW" w:eastAsia="zh-CN"/>
        </w:rPr>
        <w:t>茶油，是全球四大木本食用油料之一，据《袁州府志》记载，明代正德年间宜春就已经大面积培育种植油茶了，并且凭借优越的自然条件及悠久的栽培历史，享有“中国油茶之乡”美誉，是我国重要的优良品种小果油茶盛产基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val="zh-CN"/>
        </w:rPr>
      </w:pPr>
      <w:r>
        <w:rPr>
          <w:rFonts w:hint="default" w:ascii="Times New Roman" w:hAnsi="Times New Roman" w:eastAsia="仿宋" w:cs="Times New Roman"/>
          <w:sz w:val="32"/>
          <w:szCs w:val="32"/>
          <w:lang w:val="zh-TW"/>
        </w:rPr>
        <w:t>近年来，</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lang w:val="zh-TW"/>
        </w:rPr>
        <w:t>产业持续快速发展，面积不断增大，产量不断增加</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zh-TW"/>
        </w:rPr>
        <w:t>但</w:t>
      </w:r>
      <w:r>
        <w:rPr>
          <w:rFonts w:hint="default" w:ascii="Times New Roman" w:hAnsi="Times New Roman" w:eastAsia="仿宋" w:cs="Times New Roman"/>
          <w:sz w:val="32"/>
          <w:szCs w:val="32"/>
          <w:lang w:val="zh-TW" w:eastAsia="zh-CN"/>
        </w:rPr>
        <w:t>在产业不断扩大的过程中，针对如何规范产品种植环境、生产环境等因素；如何保证保护范围内所产“宜春野茶油”的品质和质量；如何有效打击假冒伪劣产品等恶劣行为，这些工作的实施显得尤为重要</w:t>
      </w:r>
      <w:r>
        <w:rPr>
          <w:rFonts w:hint="default" w:ascii="Times New Roman" w:hAnsi="Times New Roman" w:eastAsia="仿宋" w:cs="Times New Roman"/>
          <w:sz w:val="32"/>
          <w:szCs w:val="32"/>
          <w:lang w:val="zh-TW"/>
        </w:rPr>
        <w:t>。</w:t>
      </w:r>
      <w:r>
        <w:rPr>
          <w:rFonts w:hint="default" w:ascii="Times New Roman" w:hAnsi="Times New Roman" w:eastAsia="仿宋" w:cs="Times New Roman"/>
          <w:sz w:val="32"/>
          <w:szCs w:val="32"/>
          <w:lang w:val="en-US" w:eastAsia="zh-CN"/>
        </w:rPr>
        <w:t>此外，</w:t>
      </w:r>
      <w:r>
        <w:rPr>
          <w:rFonts w:hint="default" w:ascii="Times New Roman" w:hAnsi="Times New Roman" w:eastAsia="仿宋" w:cs="Times New Roman"/>
          <w:sz w:val="32"/>
          <w:szCs w:val="32"/>
          <w:lang w:val="zh-CN"/>
        </w:rPr>
        <w:t>为进一步提升</w:t>
      </w:r>
      <w:r>
        <w:rPr>
          <w:rFonts w:hint="default" w:ascii="Times New Roman" w:hAnsi="Times New Roman" w:eastAsia="仿宋" w:cs="Times New Roman"/>
          <w:sz w:val="32"/>
          <w:szCs w:val="32"/>
          <w:lang w:val="en-US" w:eastAsia="zh-CN"/>
        </w:rPr>
        <w:t>宜春野茶油的</w:t>
      </w:r>
      <w:r>
        <w:rPr>
          <w:rFonts w:hint="default" w:ascii="Times New Roman" w:hAnsi="Times New Roman" w:eastAsia="仿宋" w:cs="Times New Roman"/>
          <w:sz w:val="32"/>
          <w:szCs w:val="32"/>
          <w:lang w:val="zh-CN"/>
        </w:rPr>
        <w:t>知名度，加强品牌保护，</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lang w:val="zh-CN"/>
        </w:rPr>
        <w:t>生产企业</w:t>
      </w:r>
      <w:r>
        <w:rPr>
          <w:rFonts w:hint="default" w:ascii="Times New Roman" w:hAnsi="Times New Roman" w:eastAsia="仿宋" w:cs="Times New Roman"/>
          <w:sz w:val="32"/>
          <w:szCs w:val="32"/>
          <w:lang w:val="en-US" w:eastAsia="zh-CN"/>
        </w:rPr>
        <w:t>近年来</w:t>
      </w:r>
      <w:r>
        <w:rPr>
          <w:rFonts w:hint="default" w:ascii="Times New Roman" w:hAnsi="Times New Roman" w:eastAsia="仿宋" w:cs="Times New Roman"/>
          <w:sz w:val="32"/>
          <w:szCs w:val="32"/>
          <w:lang w:val="zh-CN"/>
        </w:rPr>
        <w:t>积极申请使用地理标志专用标志，但在申报过程中发现</w:t>
      </w:r>
      <w:r>
        <w:rPr>
          <w:rFonts w:hint="default" w:ascii="Times New Roman" w:hAnsi="Times New Roman" w:eastAsia="仿宋" w:cs="Times New Roman"/>
          <w:sz w:val="32"/>
          <w:szCs w:val="32"/>
          <w:lang w:val="en-US" w:eastAsia="zh-CN"/>
        </w:rPr>
        <w:t>宜春野茶油地理标志保护产品缺少相应的</w:t>
      </w:r>
      <w:r>
        <w:rPr>
          <w:rFonts w:hint="default" w:ascii="Times New Roman" w:hAnsi="Times New Roman" w:eastAsia="仿宋" w:cs="Times New Roman"/>
          <w:sz w:val="32"/>
          <w:szCs w:val="32"/>
          <w:lang w:val="zh-CN"/>
        </w:rPr>
        <w:t>地方标准</w:t>
      </w:r>
      <w:r>
        <w:rPr>
          <w:rFonts w:hint="default" w:ascii="Times New Roman" w:hAnsi="Times New Roman" w:eastAsia="仿宋" w:cs="Times New Roman"/>
          <w:color w:val="auto"/>
          <w:sz w:val="32"/>
          <w:szCs w:val="32"/>
          <w:lang w:val="zh-CN"/>
        </w:rPr>
        <w:t>，导致企业</w:t>
      </w:r>
      <w:r>
        <w:rPr>
          <w:rFonts w:hint="default" w:ascii="Times New Roman" w:hAnsi="Times New Roman" w:eastAsia="仿宋" w:cs="Times New Roman"/>
          <w:sz w:val="32"/>
          <w:szCs w:val="32"/>
          <w:lang w:val="zh-CN"/>
        </w:rPr>
        <w:t>在申请地理标志专用标志时，检验报告</w:t>
      </w:r>
      <w:r>
        <w:rPr>
          <w:rFonts w:hint="default" w:ascii="Times New Roman" w:hAnsi="Times New Roman" w:eastAsia="仿宋" w:cs="Times New Roman"/>
          <w:sz w:val="32"/>
          <w:szCs w:val="32"/>
          <w:lang w:val="en-US" w:eastAsia="zh-CN"/>
        </w:rPr>
        <w:t>无检测依据，不符合</w:t>
      </w:r>
      <w:r>
        <w:rPr>
          <w:rFonts w:hint="default" w:ascii="Times New Roman" w:hAnsi="Times New Roman" w:eastAsia="仿宋" w:cs="Times New Roman"/>
          <w:sz w:val="32"/>
          <w:szCs w:val="32"/>
          <w:lang w:val="zh-CN"/>
        </w:rPr>
        <w:t>知识产权局审核要求，无法申报使用地理标志专用标志。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24"/>
          <w:lang w:val="zh-TW"/>
        </w:rPr>
      </w:pPr>
      <w:r>
        <w:rPr>
          <w:rFonts w:hint="default" w:ascii="Times New Roman" w:hAnsi="Times New Roman" w:eastAsia="仿宋" w:cs="Times New Roman"/>
          <w:sz w:val="32"/>
          <w:szCs w:val="32"/>
          <w:lang w:val="en-US" w:eastAsia="zh-CN"/>
        </w:rPr>
        <w:t>通过本工作的开展，有利于实现“宜春野茶油”产品的标准化生产，保证品牌质量的高度统一，从而提高生产企业效益，同时让广大油茶农户受益，推动宜春野茶油产业的高质量发展。同时，本标准的颁布和实施，将为我省相关生产企业的生产及各级政府对相关产品质量的监督检测提供科学依据。</w:t>
      </w:r>
      <w:r>
        <w:rPr>
          <w:rFonts w:hint="default" w:ascii="Times New Roman" w:hAnsi="Times New Roman" w:eastAsia="仿宋" w:cs="Times New Roman"/>
          <w:sz w:val="32"/>
          <w:szCs w:val="32"/>
          <w:lang w:val="zh-TW" w:eastAsia="zh-CN"/>
        </w:rPr>
        <w:t>因此，</w:t>
      </w:r>
      <w:r>
        <w:rPr>
          <w:rFonts w:hint="default" w:ascii="Times New Roman" w:hAnsi="Times New Roman" w:eastAsia="仿宋" w:cs="Times New Roman"/>
          <w:sz w:val="32"/>
          <w:szCs w:val="32"/>
          <w:lang w:val="zh-TW"/>
        </w:rPr>
        <w:t>为了保护</w:t>
      </w:r>
      <w:r>
        <w:rPr>
          <w:rFonts w:hint="default" w:ascii="Times New Roman" w:hAnsi="Times New Roman" w:eastAsia="仿宋" w:cs="Times New Roman"/>
          <w:sz w:val="32"/>
          <w:szCs w:val="32"/>
          <w:lang w:val="zh-TW" w:eastAsia="zh-CN"/>
        </w:rPr>
        <w:t>宜春野茶油</w:t>
      </w:r>
      <w:r>
        <w:rPr>
          <w:rFonts w:hint="default" w:ascii="Times New Roman" w:hAnsi="Times New Roman" w:eastAsia="仿宋" w:cs="Times New Roman"/>
          <w:sz w:val="32"/>
          <w:szCs w:val="32"/>
          <w:lang w:val="zh-TW"/>
        </w:rPr>
        <w:t>的质量和特色，保护我</w:t>
      </w:r>
      <w:r>
        <w:rPr>
          <w:rFonts w:hint="default" w:ascii="Times New Roman" w:hAnsi="Times New Roman" w:eastAsia="仿宋" w:cs="Times New Roman"/>
          <w:sz w:val="32"/>
          <w:szCs w:val="32"/>
          <w:lang w:val="en-US" w:eastAsia="zh-CN"/>
        </w:rPr>
        <w:t>省</w:t>
      </w:r>
      <w:r>
        <w:rPr>
          <w:rFonts w:hint="default" w:ascii="Times New Roman" w:hAnsi="Times New Roman" w:eastAsia="仿宋" w:cs="Times New Roman"/>
          <w:sz w:val="32"/>
          <w:szCs w:val="32"/>
          <w:lang w:val="zh-TW"/>
        </w:rPr>
        <w:t>油茶精品，促进相关产业的</w:t>
      </w:r>
      <w:r>
        <w:rPr>
          <w:rFonts w:hint="default" w:ascii="Times New Roman" w:hAnsi="Times New Roman" w:eastAsia="仿宋" w:cs="Times New Roman"/>
          <w:sz w:val="32"/>
          <w:szCs w:val="32"/>
          <w:lang w:val="en-US" w:eastAsia="zh-CN"/>
        </w:rPr>
        <w:t>持续健康发展</w:t>
      </w:r>
      <w:r>
        <w:rPr>
          <w:rFonts w:hint="default" w:ascii="Times New Roman" w:hAnsi="Times New Roman" w:eastAsia="仿宋" w:cs="Times New Roman"/>
          <w:sz w:val="32"/>
          <w:szCs w:val="32"/>
          <w:lang w:val="zh-TW"/>
        </w:rPr>
        <w:t>，</w:t>
      </w:r>
      <w:r>
        <w:rPr>
          <w:rFonts w:hint="default" w:ascii="Times New Roman" w:hAnsi="Times New Roman" w:eastAsia="仿宋" w:cs="Times New Roman"/>
          <w:sz w:val="32"/>
          <w:szCs w:val="32"/>
          <w:lang w:val="en-US" w:eastAsia="zh-CN"/>
        </w:rPr>
        <w:t>不断提高宜春野茶油的品牌价值，</w:t>
      </w:r>
      <w:r>
        <w:rPr>
          <w:rFonts w:hint="default" w:ascii="Times New Roman" w:hAnsi="Times New Roman" w:eastAsia="仿宋" w:cs="Times New Roman"/>
          <w:sz w:val="32"/>
          <w:szCs w:val="32"/>
          <w:lang w:val="zh-TW"/>
        </w:rPr>
        <w:t>本标准的制定</w:t>
      </w:r>
      <w:r>
        <w:rPr>
          <w:rFonts w:hint="default" w:ascii="Times New Roman" w:hAnsi="Times New Roman" w:eastAsia="仿宋" w:cs="Times New Roman"/>
          <w:sz w:val="32"/>
          <w:szCs w:val="32"/>
          <w:lang w:val="zh-TW" w:eastAsia="zh-CN"/>
        </w:rPr>
        <w:t>具有重要意义</w:t>
      </w:r>
      <w:r>
        <w:rPr>
          <w:rFonts w:hint="default" w:ascii="Times New Roman" w:hAnsi="Times New Roman" w:eastAsia="仿宋_GB2312" w:cs="Times New Roman"/>
          <w:sz w:val="32"/>
          <w:szCs w:val="32"/>
          <w:lang w:val="zh-TW"/>
        </w:rPr>
        <w:t>。</w:t>
      </w:r>
    </w:p>
    <w:p>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标准编制过程</w:t>
      </w:r>
    </w:p>
    <w:p>
      <w:pPr>
        <w:autoSpaceDE w:val="0"/>
        <w:autoSpaceDN w:val="0"/>
        <w:adjustRightInd w:val="0"/>
        <w:spacing w:line="360" w:lineRule="auto"/>
        <w:ind w:firstLine="640" w:firstLineChars="200"/>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en-US" w:eastAsia="zh-CN"/>
        </w:rPr>
        <w:t>2024年5月正式开展“宜春野茶油”系列标准的制定工作</w:t>
      </w:r>
      <w:r>
        <w:rPr>
          <w:rFonts w:hint="default" w:ascii="Times New Roman" w:hAnsi="Times New Roman" w:eastAsia="仿宋" w:cs="Times New Roman"/>
          <w:kern w:val="0"/>
          <w:sz w:val="32"/>
          <w:szCs w:val="32"/>
          <w:lang w:val="zh-CN"/>
        </w:rPr>
        <w:t>。江西青龙高科油脂有限公司牵头，</w:t>
      </w:r>
      <w:r>
        <w:rPr>
          <w:rFonts w:hint="default" w:ascii="Times New Roman" w:hAnsi="Times New Roman" w:eastAsia="仿宋" w:cs="Times New Roman"/>
          <w:kern w:val="0"/>
          <w:sz w:val="32"/>
          <w:szCs w:val="32"/>
          <w:lang w:val="en-US" w:eastAsia="zh-CN"/>
        </w:rPr>
        <w:t>江西省质量和标准化研究院和南昌大学等作</w:t>
      </w:r>
      <w:r>
        <w:rPr>
          <w:rFonts w:hint="default" w:ascii="Times New Roman" w:hAnsi="Times New Roman" w:eastAsia="仿宋" w:cs="Times New Roman"/>
          <w:kern w:val="0"/>
          <w:sz w:val="32"/>
          <w:szCs w:val="32"/>
          <w:lang w:val="zh-CN"/>
        </w:rPr>
        <w:t>技术支撑单位，</w:t>
      </w:r>
      <w:r>
        <w:rPr>
          <w:rFonts w:hint="default" w:ascii="Times New Roman" w:hAnsi="Times New Roman" w:eastAsia="仿宋" w:cs="Times New Roman"/>
          <w:kern w:val="0"/>
          <w:sz w:val="32"/>
          <w:szCs w:val="32"/>
          <w:lang w:val="en-US" w:eastAsia="zh-CN"/>
        </w:rPr>
        <w:t>市</w:t>
      </w:r>
      <w:r>
        <w:rPr>
          <w:rFonts w:hint="default" w:ascii="Times New Roman" w:hAnsi="Times New Roman" w:eastAsia="仿宋" w:cs="Times New Roman"/>
          <w:kern w:val="0"/>
          <w:sz w:val="32"/>
          <w:szCs w:val="32"/>
          <w:lang w:val="zh-CN"/>
        </w:rPr>
        <w:t>内</w:t>
      </w:r>
      <w:r>
        <w:rPr>
          <w:rFonts w:hint="default" w:ascii="Times New Roman" w:hAnsi="Times New Roman" w:eastAsia="仿宋" w:cs="Times New Roman"/>
          <w:kern w:val="0"/>
          <w:sz w:val="32"/>
          <w:szCs w:val="32"/>
          <w:lang w:val="en-US" w:eastAsia="zh-CN"/>
        </w:rPr>
        <w:t>多家油茶</w:t>
      </w:r>
      <w:r>
        <w:rPr>
          <w:rFonts w:hint="default" w:ascii="Times New Roman" w:hAnsi="Times New Roman" w:eastAsia="仿宋" w:cs="Times New Roman"/>
          <w:kern w:val="0"/>
          <w:sz w:val="32"/>
          <w:szCs w:val="32"/>
          <w:lang w:val="zh-CN"/>
        </w:rPr>
        <w:t>企代表配合完成此项工作。</w:t>
      </w:r>
    </w:p>
    <w:p>
      <w:pPr>
        <w:tabs>
          <w:tab w:val="left" w:pos="795"/>
        </w:tabs>
        <w:spacing w:line="360" w:lineRule="auto"/>
        <w:ind w:firstLine="640" w:firstLineChars="200"/>
        <w:rPr>
          <w:rFonts w:hint="default" w:ascii="Times New Roman" w:hAnsi="Times New Roman" w:eastAsia="仿宋" w:cs="Times New Roman"/>
          <w:kern w:val="0"/>
          <w:sz w:val="24"/>
          <w:lang w:val="en-US" w:eastAsia="zh-CN"/>
        </w:rPr>
      </w:pPr>
      <w:r>
        <w:rPr>
          <w:rFonts w:hint="default" w:ascii="Times New Roman" w:hAnsi="Times New Roman" w:eastAsia="仿宋" w:cs="Times New Roman"/>
          <w:kern w:val="0"/>
          <w:sz w:val="32"/>
          <w:szCs w:val="32"/>
          <w:lang w:val="zh-CN"/>
        </w:rPr>
        <w:t>为保证“</w:t>
      </w:r>
      <w:r>
        <w:rPr>
          <w:rFonts w:hint="default" w:ascii="Times New Roman" w:hAnsi="Times New Roman" w:eastAsia="仿宋" w:cs="Times New Roman"/>
          <w:kern w:val="0"/>
          <w:sz w:val="32"/>
          <w:szCs w:val="32"/>
          <w:lang w:val="en-US" w:eastAsia="zh-CN"/>
        </w:rPr>
        <w:t>宜春野茶油</w:t>
      </w:r>
      <w:r>
        <w:rPr>
          <w:rFonts w:hint="default" w:ascii="Times New Roman" w:hAnsi="Times New Roman" w:eastAsia="仿宋" w:cs="Times New Roman"/>
          <w:kern w:val="0"/>
          <w:sz w:val="32"/>
          <w:szCs w:val="32"/>
          <w:lang w:val="zh-CN"/>
        </w:rPr>
        <w:t>”编制的科学性、真实性、可行性，</w:t>
      </w:r>
      <w:r>
        <w:rPr>
          <w:rFonts w:hint="default" w:ascii="Times New Roman" w:hAnsi="Times New Roman" w:eastAsia="仿宋" w:cs="Times New Roman"/>
          <w:sz w:val="32"/>
          <w:szCs w:val="32"/>
          <w:lang w:val="zh-Hans" w:eastAsia="zh-Hans"/>
        </w:rPr>
        <w:t>标准编制组</w:t>
      </w:r>
      <w:r>
        <w:rPr>
          <w:rFonts w:hint="default" w:ascii="Times New Roman" w:hAnsi="Times New Roman" w:eastAsia="仿宋" w:cs="Times New Roman"/>
          <w:kern w:val="0"/>
          <w:sz w:val="32"/>
          <w:szCs w:val="32"/>
          <w:lang w:val="zh-CN"/>
        </w:rPr>
        <w:t>多次到</w:t>
      </w:r>
      <w:r>
        <w:rPr>
          <w:rFonts w:hint="eastAsia" w:eastAsia="仿宋" w:cs="Times New Roman"/>
          <w:kern w:val="0"/>
          <w:sz w:val="32"/>
          <w:szCs w:val="32"/>
          <w:lang w:val="en-US" w:eastAsia="zh-CN"/>
        </w:rPr>
        <w:t>宜春野茶油</w:t>
      </w:r>
      <w:r>
        <w:rPr>
          <w:rFonts w:hint="default" w:ascii="Times New Roman" w:hAnsi="Times New Roman" w:eastAsia="仿宋" w:cs="Times New Roman"/>
          <w:kern w:val="0"/>
          <w:sz w:val="32"/>
          <w:szCs w:val="32"/>
          <w:highlight w:val="none"/>
          <w:lang w:val="zh-CN"/>
        </w:rPr>
        <w:t>核心产区进行深度调研，</w:t>
      </w:r>
      <w:r>
        <w:rPr>
          <w:rFonts w:hint="default" w:ascii="Times New Roman" w:hAnsi="Times New Roman" w:eastAsia="仿宋" w:cs="Times New Roman"/>
          <w:sz w:val="32"/>
          <w:szCs w:val="32"/>
          <w:highlight w:val="none"/>
          <w:lang w:val="zh-Hans" w:eastAsia="zh-Hans"/>
        </w:rPr>
        <w:t>采制</w:t>
      </w:r>
      <w:r>
        <w:rPr>
          <w:rFonts w:hint="default" w:ascii="Times New Roman" w:hAnsi="Times New Roman" w:eastAsia="仿宋" w:cs="Times New Roman"/>
          <w:sz w:val="32"/>
          <w:szCs w:val="32"/>
          <w:highlight w:val="none"/>
          <w:lang w:val="en-US" w:eastAsia="zh-CN"/>
        </w:rPr>
        <w:t>多个</w:t>
      </w:r>
      <w:r>
        <w:rPr>
          <w:rFonts w:hint="default" w:ascii="Times New Roman" w:hAnsi="Times New Roman" w:eastAsia="仿宋" w:cs="Times New Roman"/>
          <w:sz w:val="32"/>
          <w:szCs w:val="32"/>
          <w:highlight w:val="none"/>
          <w:lang w:val="zh-Hans" w:eastAsia="zh-Hans"/>
        </w:rPr>
        <w:t>标准样品</w:t>
      </w:r>
      <w:r>
        <w:rPr>
          <w:rFonts w:hint="default" w:ascii="Times New Roman" w:hAnsi="Times New Roman" w:eastAsia="仿宋" w:cs="Times New Roman"/>
          <w:sz w:val="32"/>
          <w:szCs w:val="32"/>
          <w:highlight w:val="none"/>
          <w:lang w:val="zh-Hans" w:eastAsia="zh-CN"/>
        </w:rPr>
        <w:t>进行</w:t>
      </w:r>
      <w:r>
        <w:rPr>
          <w:rFonts w:hint="default" w:ascii="Times New Roman" w:hAnsi="Times New Roman" w:eastAsia="仿宋" w:cs="Times New Roman"/>
          <w:sz w:val="32"/>
          <w:szCs w:val="32"/>
          <w:highlight w:val="none"/>
        </w:rPr>
        <w:t>分析</w:t>
      </w:r>
      <w:r>
        <w:rPr>
          <w:rFonts w:hint="default" w:ascii="Times New Roman" w:hAnsi="Times New Roman" w:eastAsia="仿宋" w:cs="Times New Roman"/>
          <w:sz w:val="32"/>
          <w:szCs w:val="32"/>
          <w:highlight w:val="none"/>
          <w:lang w:eastAsia="zh-CN"/>
        </w:rPr>
        <w:t>评价</w:t>
      </w:r>
      <w:r>
        <w:rPr>
          <w:rFonts w:hint="default" w:ascii="Times New Roman" w:hAnsi="Times New Roman" w:eastAsia="仿宋" w:cs="Times New Roman"/>
          <w:kern w:val="0"/>
          <w:sz w:val="32"/>
          <w:szCs w:val="32"/>
          <w:lang w:val="zh-CN"/>
        </w:rPr>
        <w:t>。</w:t>
      </w:r>
      <w:r>
        <w:rPr>
          <w:rFonts w:hint="default" w:ascii="Times New Roman" w:hAnsi="Times New Roman" w:eastAsia="仿宋" w:cs="Times New Roman"/>
          <w:color w:val="auto"/>
          <w:kern w:val="0"/>
          <w:sz w:val="32"/>
          <w:szCs w:val="32"/>
          <w:lang w:val="zh-CN"/>
        </w:rPr>
        <w:t>通过对</w:t>
      </w:r>
      <w:r>
        <w:rPr>
          <w:rFonts w:hint="default" w:ascii="Times New Roman" w:hAnsi="Times New Roman" w:eastAsia="仿宋" w:cs="Times New Roman"/>
          <w:color w:val="auto"/>
          <w:sz w:val="32"/>
          <w:szCs w:val="32"/>
          <w:lang w:val="zh-Hans" w:eastAsia="zh-Hans"/>
        </w:rPr>
        <w:t>调研信</w:t>
      </w:r>
      <w:r>
        <w:rPr>
          <w:rFonts w:hint="default" w:ascii="Times New Roman" w:hAnsi="Times New Roman" w:eastAsia="仿宋" w:cs="Times New Roman"/>
          <w:sz w:val="32"/>
          <w:szCs w:val="32"/>
          <w:lang w:val="zh-Hans" w:eastAsia="zh-Hans"/>
        </w:rPr>
        <w:t>息</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eastAsia="zh-Hans"/>
        </w:rPr>
        <w:t>检测报告</w:t>
      </w:r>
      <w:r>
        <w:rPr>
          <w:rFonts w:hint="default" w:ascii="Times New Roman" w:hAnsi="Times New Roman" w:eastAsia="仿宋" w:cs="Times New Roman"/>
          <w:sz w:val="32"/>
          <w:szCs w:val="32"/>
          <w:lang w:val="zh-Hans" w:eastAsia="zh-CN"/>
        </w:rPr>
        <w:t>与</w:t>
      </w:r>
      <w:r>
        <w:rPr>
          <w:rFonts w:hint="default" w:ascii="Times New Roman" w:hAnsi="Times New Roman" w:eastAsia="仿宋" w:cs="Times New Roman"/>
          <w:sz w:val="32"/>
          <w:szCs w:val="32"/>
          <w:lang w:val="zh-Hans" w:eastAsia="zh-Hans"/>
        </w:rPr>
        <w:t>国内外相关红茶标准</w:t>
      </w:r>
      <w:r>
        <w:rPr>
          <w:rFonts w:hint="default" w:ascii="Times New Roman" w:hAnsi="Times New Roman" w:eastAsia="仿宋" w:cs="Times New Roman"/>
          <w:sz w:val="32"/>
          <w:szCs w:val="32"/>
          <w:lang w:val="zh-Hans" w:eastAsia="zh-CN"/>
        </w:rPr>
        <w:t>进行整理分析</w:t>
      </w:r>
      <w:r>
        <w:rPr>
          <w:rFonts w:hint="default" w:ascii="Times New Roman" w:hAnsi="Times New Roman" w:eastAsia="仿宋" w:cs="Times New Roman"/>
          <w:sz w:val="32"/>
          <w:szCs w:val="32"/>
          <w:lang w:val="zh-Hans" w:eastAsia="zh-Hans"/>
        </w:rPr>
        <w:t>，形成了</w:t>
      </w:r>
      <w:r>
        <w:rPr>
          <w:rFonts w:hint="default" w:ascii="Times New Roman" w:hAnsi="Times New Roman" w:eastAsia="仿宋" w:cs="Times New Roman"/>
          <w:sz w:val="32"/>
          <w:szCs w:val="32"/>
          <w:lang w:val="zh-Hans" w:eastAsia="zh-CN"/>
        </w:rPr>
        <w:t>《宜春野茶油质量要求》</w:t>
      </w:r>
      <w:r>
        <w:rPr>
          <w:rFonts w:hint="default" w:ascii="Times New Roman" w:hAnsi="Times New Roman" w:eastAsia="仿宋" w:cs="Times New Roman"/>
          <w:sz w:val="32"/>
          <w:szCs w:val="32"/>
          <w:lang w:val="zh-Hans" w:eastAsia="zh-Hans"/>
        </w:rPr>
        <w:t>分析报告，在此基础上着手编制</w:t>
      </w:r>
      <w:r>
        <w:rPr>
          <w:rFonts w:hint="default" w:ascii="Times New Roman" w:hAnsi="Times New Roman" w:eastAsia="仿宋" w:cs="Times New Roman"/>
          <w:sz w:val="32"/>
          <w:szCs w:val="32"/>
          <w:lang w:val="zh-Hans" w:eastAsia="zh-CN"/>
        </w:rPr>
        <w:t>了</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zh-Hans" w:eastAsia="zh-CN"/>
        </w:rPr>
        <w:t>地理标志产品</w:t>
      </w:r>
      <w:r>
        <w:rPr>
          <w:rFonts w:hint="default" w:ascii="Times New Roman" w:hAnsi="Times New Roman" w:eastAsia="仿宋" w:cs="Times New Roman"/>
          <w:sz w:val="32"/>
          <w:szCs w:val="32"/>
          <w:lang w:val="en-US" w:eastAsia="zh-CN"/>
        </w:rPr>
        <w:t xml:space="preserve"> 宜春野茶油</w:t>
      </w:r>
      <w:r>
        <w:rPr>
          <w:rFonts w:hint="default" w:ascii="Times New Roman" w:hAnsi="Times New Roman" w:eastAsia="仿宋" w:cs="Times New Roman"/>
          <w:sz w:val="32"/>
          <w:szCs w:val="32"/>
          <w:lang w:val="zh-Hans" w:eastAsia="zh-Hans"/>
        </w:rPr>
        <w:t>》标准初稿</w:t>
      </w:r>
      <w:r>
        <w:rPr>
          <w:rFonts w:hint="default" w:ascii="Times New Roman" w:hAnsi="Times New Roman" w:eastAsia="仿宋" w:cs="Times New Roman"/>
          <w:kern w:val="0"/>
          <w:sz w:val="32"/>
          <w:szCs w:val="32"/>
          <w:lang w:val="zh-CN"/>
        </w:rPr>
        <w:t>。随后广泛征求有关专家，生产应用单位的书面意见，再次修改标准初稿，</w:t>
      </w:r>
      <w:r>
        <w:rPr>
          <w:rFonts w:hint="default" w:ascii="Times New Roman" w:hAnsi="Times New Roman" w:eastAsia="仿宋" w:cs="Times New Roman"/>
          <w:kern w:val="0"/>
          <w:sz w:val="32"/>
          <w:szCs w:val="32"/>
          <w:lang w:val="en-US" w:eastAsia="zh-CN"/>
        </w:rPr>
        <w:t>最</w:t>
      </w:r>
      <w:r>
        <w:rPr>
          <w:rFonts w:hint="eastAsia" w:eastAsia="仿宋" w:cs="Times New Roman"/>
          <w:kern w:val="0"/>
          <w:sz w:val="32"/>
          <w:szCs w:val="32"/>
          <w:lang w:val="en-US" w:eastAsia="zh-CN"/>
        </w:rPr>
        <w:t>后</w:t>
      </w:r>
      <w:bookmarkStart w:id="0" w:name="_GoBack"/>
      <w:bookmarkEnd w:id="0"/>
      <w:r>
        <w:rPr>
          <w:rFonts w:hint="default" w:ascii="Times New Roman" w:hAnsi="Times New Roman" w:eastAsia="仿宋" w:cs="Times New Roman"/>
          <w:kern w:val="0"/>
          <w:sz w:val="32"/>
          <w:szCs w:val="32"/>
          <w:lang w:val="zh-CN"/>
        </w:rPr>
        <w:t>形成征求意见稿</w:t>
      </w:r>
      <w:r>
        <w:rPr>
          <w:rFonts w:hint="default" w:ascii="Times New Roman" w:hAnsi="Times New Roman" w:eastAsia="仿宋" w:cs="Times New Roman"/>
          <w:kern w:val="2"/>
          <w:sz w:val="32"/>
          <w:szCs w:val="32"/>
          <w:lang w:val="en-US" w:eastAsia="zh-CN"/>
        </w:rPr>
        <w:t>。</w:t>
      </w:r>
    </w:p>
    <w:p>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标准技术内容的确定与说明</w:t>
      </w:r>
    </w:p>
    <w:p>
      <w:pPr>
        <w:autoSpaceDE w:val="0"/>
        <w:autoSpaceDN w:val="0"/>
        <w:adjustRightInd w:val="0"/>
        <w:spacing w:line="360" w:lineRule="auto"/>
        <w:ind w:firstLine="643"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1.标准编制原则和依据</w:t>
      </w:r>
    </w:p>
    <w:p>
      <w:pPr>
        <w:autoSpaceDE w:val="0"/>
        <w:autoSpaceDN w:val="0"/>
        <w:adjustRightInd w:val="0"/>
        <w:spacing w:line="360" w:lineRule="auto"/>
        <w:ind w:firstLine="640"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sz w:val="32"/>
          <w:szCs w:val="32"/>
        </w:rPr>
        <w:t>本标准依据GB/T</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1.1-2020《标准化工作导则</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第1部分：标准化文件的结构和起草规则》的</w:t>
      </w:r>
      <w:r>
        <w:rPr>
          <w:rFonts w:hint="default" w:ascii="Times New Roman" w:hAnsi="Times New Roman" w:eastAsia="仿宋" w:cs="Times New Roman"/>
          <w:sz w:val="32"/>
          <w:szCs w:val="32"/>
          <w:lang w:val="en-US" w:eastAsia="zh-CN"/>
        </w:rPr>
        <w:t>规定</w:t>
      </w:r>
      <w:r>
        <w:rPr>
          <w:rFonts w:hint="default" w:ascii="Times New Roman" w:hAnsi="Times New Roman" w:eastAsia="仿宋" w:cs="Times New Roman"/>
          <w:sz w:val="32"/>
          <w:szCs w:val="32"/>
        </w:rPr>
        <w:t>制定本标准。</w:t>
      </w:r>
    </w:p>
    <w:p>
      <w:pPr>
        <w:autoSpaceDE w:val="0"/>
        <w:autoSpaceDN w:val="0"/>
        <w:adjustRightIn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标准编制遵循“科学性、客观性和可操作性”的原则</w:t>
      </w:r>
      <w:r>
        <w:rPr>
          <w:rFonts w:hint="default" w:ascii="Times New Roman" w:hAnsi="Times New Roman" w:eastAsia="仿宋" w:cs="Times New Roman"/>
          <w:sz w:val="32"/>
          <w:szCs w:val="32"/>
          <w:lang w:val="zh-Hans" w:eastAsia="zh-Hans"/>
        </w:rPr>
        <w:t xml:space="preserve">，依据国家相关法律法规和相关强制性标准的规定和要求，参考了GB/T </w:t>
      </w:r>
      <w:r>
        <w:rPr>
          <w:rFonts w:hint="default" w:ascii="Times New Roman" w:hAnsi="Times New Roman" w:eastAsia="仿宋" w:cs="Times New Roman"/>
          <w:sz w:val="32"/>
          <w:szCs w:val="32"/>
          <w:lang w:val="en-US" w:eastAsia="zh-CN"/>
        </w:rPr>
        <w:t>11765</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油茶籽油</w:t>
      </w:r>
      <w:r>
        <w:rPr>
          <w:rFonts w:hint="default" w:ascii="Times New Roman" w:hAnsi="Times New Roman" w:eastAsia="仿宋" w:cs="Times New Roman"/>
          <w:sz w:val="32"/>
          <w:szCs w:val="32"/>
          <w:lang w:val="zh-Hans" w:eastAsia="zh-Hans"/>
        </w:rPr>
        <w:t>》等相关标准</w:t>
      </w:r>
      <w:r>
        <w:rPr>
          <w:rFonts w:hint="default" w:ascii="Times New Roman" w:hAnsi="Times New Roman" w:eastAsia="仿宋" w:cs="Times New Roman"/>
          <w:sz w:val="32"/>
          <w:szCs w:val="32"/>
          <w:lang w:val="zh-Hans" w:eastAsia="zh-CN"/>
        </w:rPr>
        <w:t>制定相关指标</w:t>
      </w:r>
      <w:r>
        <w:rPr>
          <w:rFonts w:hint="default" w:ascii="Times New Roman" w:hAnsi="Times New Roman" w:eastAsia="仿宋" w:cs="Times New Roman"/>
          <w:sz w:val="32"/>
          <w:szCs w:val="32"/>
        </w:rPr>
        <w:t>。</w:t>
      </w:r>
    </w:p>
    <w:p>
      <w:pPr>
        <w:autoSpaceDE w:val="0"/>
        <w:autoSpaceDN w:val="0"/>
        <w:adjustRightInd w:val="0"/>
        <w:spacing w:line="360" w:lineRule="auto"/>
        <w:ind w:firstLine="643" w:firstLineChars="200"/>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2.标准的结构及重要条款说明</w:t>
      </w:r>
    </w:p>
    <w:p>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本标准涉及</w:t>
      </w:r>
      <w:r>
        <w:rPr>
          <w:rFonts w:hint="default" w:ascii="Times New Roman" w:hAnsi="Times New Roman" w:eastAsia="仿宋" w:cs="Times New Roman"/>
          <w:sz w:val="32"/>
          <w:szCs w:val="32"/>
          <w:lang w:val="zh-Hans" w:eastAsia="zh-CN"/>
        </w:rPr>
        <w:t>了</w:t>
      </w:r>
      <w:r>
        <w:rPr>
          <w:rFonts w:hint="default" w:ascii="Times New Roman" w:hAnsi="Times New Roman" w:eastAsia="仿宋" w:cs="Times New Roman"/>
          <w:sz w:val="32"/>
          <w:szCs w:val="32"/>
          <w:lang w:val="en-US" w:eastAsia="zh-CN"/>
        </w:rPr>
        <w:t>地理标志产品</w:t>
      </w:r>
      <w:r>
        <w:rPr>
          <w:rFonts w:hint="default" w:ascii="Times New Roman" w:hAnsi="Times New Roman" w:eastAsia="仿宋" w:cs="Times New Roman"/>
          <w:sz w:val="32"/>
          <w:szCs w:val="32"/>
          <w:lang w:val="zh-Hans" w:eastAsia="zh-CN"/>
        </w:rPr>
        <w:t>宜春野茶油的</w:t>
      </w:r>
      <w:r>
        <w:rPr>
          <w:rFonts w:hint="default" w:ascii="Times New Roman" w:hAnsi="Times New Roman" w:eastAsia="仿宋" w:cs="Times New Roman"/>
          <w:sz w:val="32"/>
          <w:szCs w:val="32"/>
          <w:lang w:val="zh-Hans" w:eastAsia="zh-Hans"/>
        </w:rPr>
        <w:t>术语和定义、地理标志产品</w:t>
      </w:r>
      <w:r>
        <w:rPr>
          <w:rFonts w:hint="default" w:ascii="Times New Roman" w:hAnsi="Times New Roman" w:eastAsia="仿宋" w:cs="Times New Roman"/>
          <w:sz w:val="32"/>
          <w:szCs w:val="32"/>
          <w:lang w:val="en-US" w:eastAsia="zh-CN"/>
        </w:rPr>
        <w:t>产地</w:t>
      </w:r>
      <w:r>
        <w:rPr>
          <w:rFonts w:hint="default" w:ascii="Times New Roman" w:hAnsi="Times New Roman" w:eastAsia="仿宋" w:cs="Times New Roman"/>
          <w:sz w:val="32"/>
          <w:szCs w:val="32"/>
          <w:lang w:val="zh-Hans" w:eastAsia="zh-Hans"/>
        </w:rPr>
        <w:t>范围、</w:t>
      </w:r>
      <w:r>
        <w:rPr>
          <w:rFonts w:hint="default" w:ascii="Times New Roman" w:hAnsi="Times New Roman" w:eastAsia="仿宋" w:cs="Times New Roman"/>
          <w:sz w:val="32"/>
          <w:szCs w:val="32"/>
          <w:lang w:val="en-US" w:eastAsia="zh-CN"/>
        </w:rPr>
        <w:t>技术</w:t>
      </w:r>
      <w:r>
        <w:rPr>
          <w:rFonts w:hint="default" w:ascii="Times New Roman" w:hAnsi="Times New Roman" w:eastAsia="仿宋" w:cs="Times New Roman"/>
          <w:sz w:val="32"/>
          <w:szCs w:val="32"/>
          <w:lang w:val="zh-Hans" w:eastAsia="zh-Hans"/>
        </w:rPr>
        <w:t>要求</w:t>
      </w:r>
      <w:r>
        <w:rPr>
          <w:rFonts w:hint="default" w:ascii="Times New Roman" w:hAnsi="Times New Roman" w:eastAsia="仿宋" w:cs="Times New Roman"/>
          <w:sz w:val="32"/>
          <w:szCs w:val="32"/>
          <w:lang w:val="en-US" w:eastAsia="zh-CN"/>
        </w:rPr>
        <w:t>等</w:t>
      </w:r>
      <w:r>
        <w:rPr>
          <w:rFonts w:hint="default" w:ascii="Times New Roman" w:hAnsi="Times New Roman" w:eastAsia="仿宋" w:cs="Times New Roman"/>
          <w:sz w:val="32"/>
          <w:szCs w:val="32"/>
          <w:lang w:val="zh-Hans" w:eastAsia="zh-CN"/>
        </w:rPr>
        <w:t>内容</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根据</w:t>
      </w:r>
      <w:r>
        <w:rPr>
          <w:rFonts w:hint="default" w:ascii="Times New Roman" w:hAnsi="Times New Roman" w:eastAsia="仿宋" w:cs="Times New Roman"/>
          <w:sz w:val="32"/>
          <w:szCs w:val="32"/>
          <w:lang w:val="zh-Hans" w:eastAsia="zh-Hans"/>
        </w:rPr>
        <w:t>相关国家标准要求</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eastAsia="zh-Hans"/>
        </w:rPr>
        <w:t>项目编写组实地调研</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lang w:val="zh-Hans" w:eastAsia="zh-Hans"/>
        </w:rPr>
        <w:t>信息和代表性样品分析结果是各章节相关内容及描述的依据。其中：</w:t>
      </w:r>
    </w:p>
    <w:p>
      <w:pPr>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（1）产品分级</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为保护江西省传统</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rPr>
        <w:t>类产品，明确</w:t>
      </w:r>
      <w:r>
        <w:rPr>
          <w:rFonts w:hint="default" w:ascii="Times New Roman" w:hAnsi="Times New Roman" w:eastAsia="仿宋" w:cs="Times New Roman"/>
          <w:sz w:val="32"/>
          <w:szCs w:val="32"/>
          <w:lang w:eastAsia="zh-CN"/>
        </w:rPr>
        <w:t>宜春野茶油</w:t>
      </w:r>
      <w:r>
        <w:rPr>
          <w:rFonts w:hint="default" w:ascii="Times New Roman" w:hAnsi="Times New Roman" w:eastAsia="仿宋" w:cs="Times New Roman"/>
          <w:sz w:val="32"/>
          <w:szCs w:val="32"/>
        </w:rPr>
        <w:t>的</w:t>
      </w:r>
      <w:r>
        <w:rPr>
          <w:rFonts w:hint="default" w:ascii="Times New Roman" w:hAnsi="Times New Roman" w:eastAsia="仿宋" w:cs="Times New Roman"/>
          <w:sz w:val="32"/>
          <w:szCs w:val="32"/>
          <w:lang w:val="en-US" w:eastAsia="zh-CN"/>
        </w:rPr>
        <w:t>分</w:t>
      </w:r>
      <w:r>
        <w:rPr>
          <w:rFonts w:hint="default" w:ascii="Times New Roman" w:hAnsi="Times New Roman" w:eastAsia="仿宋" w:cs="Times New Roman"/>
          <w:sz w:val="32"/>
          <w:szCs w:val="32"/>
          <w:lang w:eastAsia="zh-CN"/>
        </w:rPr>
        <w:t>级</w:t>
      </w:r>
      <w:r>
        <w:rPr>
          <w:rFonts w:hint="default" w:ascii="Times New Roman" w:hAnsi="Times New Roman" w:eastAsia="仿宋" w:cs="Times New Roman"/>
          <w:sz w:val="32"/>
          <w:szCs w:val="32"/>
        </w:rPr>
        <w:t>，本</w:t>
      </w:r>
      <w:r>
        <w:rPr>
          <w:rFonts w:hint="default" w:ascii="Times New Roman" w:hAnsi="Times New Roman" w:eastAsia="仿宋" w:cs="Times New Roman"/>
          <w:sz w:val="32"/>
          <w:szCs w:val="32"/>
          <w:lang w:val="en-US" w:eastAsia="zh-CN"/>
        </w:rPr>
        <w:t>标准规定的</w:t>
      </w:r>
      <w:r>
        <w:rPr>
          <w:rFonts w:hint="default" w:ascii="Times New Roman" w:hAnsi="Times New Roman" w:eastAsia="仿宋" w:cs="Times New Roman"/>
          <w:sz w:val="32"/>
          <w:szCs w:val="32"/>
          <w:lang w:eastAsia="zh-CN"/>
        </w:rPr>
        <w:t>宜春野茶油</w:t>
      </w:r>
      <w:r>
        <w:rPr>
          <w:rFonts w:hint="default" w:ascii="Times New Roman" w:hAnsi="Times New Roman" w:eastAsia="仿宋" w:cs="Times New Roman"/>
          <w:sz w:val="32"/>
          <w:szCs w:val="32"/>
          <w:lang w:val="en-US" w:eastAsia="zh-CN"/>
        </w:rPr>
        <w:t>根据历史传承、</w:t>
      </w:r>
      <w:r>
        <w:rPr>
          <w:rFonts w:hint="default" w:ascii="Times New Roman" w:hAnsi="Times New Roman" w:eastAsia="仿宋" w:cs="Times New Roman"/>
          <w:sz w:val="32"/>
          <w:szCs w:val="32"/>
        </w:rPr>
        <w:t>品质特征</w:t>
      </w:r>
      <w:r>
        <w:rPr>
          <w:rFonts w:hint="default" w:ascii="Times New Roman" w:hAnsi="Times New Roman" w:eastAsia="仿宋" w:cs="Times New Roman"/>
          <w:sz w:val="32"/>
          <w:szCs w:val="32"/>
          <w:lang w:eastAsia="zh-CN"/>
        </w:rPr>
        <w:t>和</w:t>
      </w:r>
      <w:r>
        <w:rPr>
          <w:rFonts w:hint="default" w:ascii="Times New Roman" w:hAnsi="Times New Roman" w:eastAsia="仿宋" w:cs="Times New Roman"/>
          <w:sz w:val="32"/>
          <w:szCs w:val="32"/>
          <w:lang w:val="en-US" w:eastAsia="zh-CN"/>
        </w:rPr>
        <w:t>市场</w:t>
      </w:r>
      <w:r>
        <w:rPr>
          <w:rFonts w:hint="default" w:ascii="Times New Roman" w:hAnsi="Times New Roman" w:eastAsia="仿宋" w:cs="Times New Roman"/>
          <w:sz w:val="32"/>
          <w:szCs w:val="32"/>
          <w:lang w:eastAsia="zh-CN"/>
        </w:rPr>
        <w:t>销售</w:t>
      </w:r>
      <w:r>
        <w:rPr>
          <w:rFonts w:hint="default" w:ascii="Times New Roman" w:hAnsi="Times New Roman" w:eastAsia="仿宋" w:cs="Times New Roman"/>
          <w:sz w:val="32"/>
          <w:szCs w:val="32"/>
        </w:rPr>
        <w:t>情况，</w:t>
      </w:r>
      <w:r>
        <w:rPr>
          <w:rFonts w:hint="default" w:ascii="Times New Roman" w:hAnsi="Times New Roman" w:eastAsia="仿宋" w:cs="Times New Roman"/>
          <w:sz w:val="32"/>
          <w:szCs w:val="32"/>
          <w:lang w:val="en-US" w:eastAsia="zh-CN"/>
        </w:rPr>
        <w:t>将宜春野茶油</w:t>
      </w:r>
      <w:r>
        <w:rPr>
          <w:rFonts w:hint="default" w:ascii="Times New Roman" w:hAnsi="Times New Roman" w:eastAsia="仿宋" w:cs="Times New Roman"/>
          <w:sz w:val="32"/>
          <w:szCs w:val="32"/>
        </w:rPr>
        <w:t>分一级和二级</w:t>
      </w:r>
      <w:r>
        <w:rPr>
          <w:rFonts w:hint="default" w:ascii="Times New Roman" w:hAnsi="Times New Roman" w:eastAsia="仿宋" w:cs="Times New Roman"/>
          <w:sz w:val="32"/>
          <w:szCs w:val="32"/>
          <w:lang w:val="en-US" w:eastAsia="zh-CN"/>
        </w:rPr>
        <w:t>2个等级</w:t>
      </w:r>
      <w:r>
        <w:rPr>
          <w:rFonts w:hint="default" w:ascii="Times New Roman" w:hAnsi="Times New Roman" w:eastAsia="仿宋" w:cs="Times New Roman"/>
          <w:sz w:val="32"/>
          <w:szCs w:val="32"/>
        </w:rPr>
        <w:t>。</w:t>
      </w:r>
    </w:p>
    <w:p>
      <w:pPr>
        <w:numPr>
          <w:ilvl w:val="0"/>
          <w:numId w:val="3"/>
        </w:numPr>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技术要求</w:t>
      </w:r>
    </w:p>
    <w:p>
      <w:p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为</w:t>
      </w:r>
      <w:r>
        <w:rPr>
          <w:rFonts w:hint="default" w:ascii="Times New Roman" w:hAnsi="Times New Roman" w:eastAsia="仿宋" w:cs="Times New Roman"/>
          <w:sz w:val="32"/>
          <w:szCs w:val="32"/>
          <w:lang w:eastAsia="zh-CN"/>
        </w:rPr>
        <w:t>规范宜春野茶油产品的种植、生产环境，</w:t>
      </w:r>
      <w:r>
        <w:rPr>
          <w:rFonts w:hint="default" w:ascii="Times New Roman" w:hAnsi="Times New Roman" w:eastAsia="仿宋" w:cs="Times New Roman"/>
          <w:sz w:val="32"/>
          <w:szCs w:val="32"/>
          <w:lang w:val="en-US" w:eastAsia="zh-CN"/>
        </w:rPr>
        <w:t>对立地条件</w:t>
      </w:r>
      <w:r>
        <w:rPr>
          <w:rFonts w:hint="default" w:ascii="Times New Roman" w:hAnsi="Times New Roman" w:eastAsia="仿宋" w:cs="Times New Roman"/>
          <w:sz w:val="32"/>
          <w:szCs w:val="32"/>
          <w:lang w:eastAsia="zh-CN"/>
        </w:rPr>
        <w:t>、品种、</w:t>
      </w:r>
      <w:r>
        <w:rPr>
          <w:rFonts w:hint="default" w:ascii="Times New Roman" w:hAnsi="Times New Roman" w:eastAsia="仿宋" w:cs="Times New Roman"/>
          <w:sz w:val="32"/>
          <w:szCs w:val="32"/>
          <w:lang w:val="en-US" w:eastAsia="zh-CN"/>
        </w:rPr>
        <w:t>栽培管理、果实采收和处理、加工要求5个方面进行明确。</w:t>
      </w:r>
      <w:r>
        <w:rPr>
          <w:rFonts w:hint="default" w:ascii="Times New Roman" w:hAnsi="Times New Roman" w:eastAsia="仿宋" w:cs="Times New Roman"/>
          <w:sz w:val="32"/>
          <w:szCs w:val="32"/>
          <w:lang w:val="zh-Hans"/>
        </w:rPr>
        <w:t>根据</w:t>
      </w:r>
      <w:r>
        <w:rPr>
          <w:rFonts w:hint="default" w:ascii="Times New Roman" w:hAnsi="Times New Roman" w:eastAsia="仿宋" w:cs="Times New Roman"/>
          <w:sz w:val="32"/>
          <w:szCs w:val="32"/>
          <w:lang w:val="en-US" w:eastAsia="zh-CN"/>
        </w:rPr>
        <w:t>油茶树</w:t>
      </w:r>
      <w:r>
        <w:rPr>
          <w:rFonts w:hint="default" w:ascii="Times New Roman" w:hAnsi="Times New Roman" w:eastAsia="仿宋" w:cs="Times New Roman"/>
          <w:sz w:val="32"/>
          <w:szCs w:val="32"/>
          <w:lang w:val="zh-Hans"/>
        </w:rPr>
        <w:t>的适生环境</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rPr>
        <w:t>对</w:t>
      </w:r>
      <w:r>
        <w:rPr>
          <w:rFonts w:hint="default" w:ascii="Times New Roman" w:hAnsi="Times New Roman" w:eastAsia="仿宋" w:cs="Times New Roman"/>
          <w:sz w:val="32"/>
          <w:szCs w:val="32"/>
          <w:lang w:val="zh-Hans" w:eastAsia="zh-CN"/>
        </w:rPr>
        <w:t>宜春野茶油种植的</w:t>
      </w:r>
      <w:r>
        <w:rPr>
          <w:rFonts w:hint="default" w:ascii="Times New Roman" w:hAnsi="Times New Roman" w:eastAsia="仿宋" w:cs="Times New Roman"/>
          <w:sz w:val="32"/>
          <w:szCs w:val="32"/>
          <w:lang w:val="zh-Hans"/>
        </w:rPr>
        <w:t>土壤条件、</w:t>
      </w:r>
      <w:r>
        <w:rPr>
          <w:rFonts w:hint="default" w:ascii="Times New Roman" w:hAnsi="Times New Roman" w:eastAsia="仿宋" w:cs="Times New Roman"/>
          <w:sz w:val="32"/>
          <w:szCs w:val="32"/>
          <w:lang w:val="zh-Hans" w:eastAsia="zh-CN"/>
        </w:rPr>
        <w:t>生态</w:t>
      </w:r>
      <w:r>
        <w:rPr>
          <w:rFonts w:hint="default" w:ascii="Times New Roman" w:hAnsi="Times New Roman" w:eastAsia="仿宋" w:cs="Times New Roman"/>
          <w:sz w:val="32"/>
          <w:szCs w:val="32"/>
          <w:lang w:val="zh-Hans"/>
        </w:rPr>
        <w:t>条件进行了要求</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en-US" w:eastAsia="zh-CN"/>
        </w:rPr>
        <w:t>规定了油茶生长立地条件在宜春地区海拔500m以下，土壤为酸性红壤，pH值5.0~6.0，土层厚度≥50cm以上的条件。</w:t>
      </w:r>
      <w:r>
        <w:rPr>
          <w:rFonts w:hint="default" w:ascii="Times New Roman" w:hAnsi="Times New Roman" w:eastAsia="仿宋" w:cs="Times New Roman"/>
          <w:sz w:val="32"/>
          <w:szCs w:val="32"/>
          <w:lang w:val="zh-Hans" w:eastAsia="zh-CN"/>
        </w:rPr>
        <w:t>品种限定为生长在宜春地区的寒露籽、霜降籽油茶品种。</w:t>
      </w:r>
      <w:r>
        <w:rPr>
          <w:rFonts w:hint="default" w:ascii="Times New Roman" w:hAnsi="Times New Roman" w:eastAsia="仿宋" w:cs="Times New Roman"/>
          <w:sz w:val="32"/>
          <w:szCs w:val="32"/>
          <w:lang w:val="en-US" w:eastAsia="zh-CN"/>
        </w:rPr>
        <w:t>栽培管理规定育苗为无性系嫁接育苗，育苗时间在每年5月份进行；栽植时间主要在早春2月~3月，初栽植密度大约1200 株/公顷；以有机肥为主，前期幼苗每株施用有机肥量≥10kg。后期根据树苗的成长情况进行施肥。果实采收和处理规定10月上旬~11月，当茶果色泽变为发红、发黄或紫褐色，每年寒露或霜降节气之后，开始采集；待果实外果皮裂开，进行去外壳处理，经挑选精捡的茶籽进行干燥处理。加工规定工艺为油茶果采集——去外壳——干燥——压榨——脱胶——脱水——脱色——脱臭——脱脂——分装——成品</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其中油茶籽经干燥后，直接进入压榨机物理压榨。</w:t>
      </w:r>
    </w:p>
    <w:p>
      <w:pPr>
        <w:numPr>
          <w:ilvl w:val="0"/>
          <w:numId w:val="3"/>
        </w:numPr>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val="en-US" w:eastAsia="zh-CN"/>
        </w:rPr>
        <w:t>质量要求</w:t>
      </w:r>
    </w:p>
    <w:p>
      <w:pPr>
        <w:spacing w:line="360" w:lineRule="auto"/>
        <w:ind w:firstLine="640" w:firstLineChars="200"/>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sz w:val="32"/>
          <w:szCs w:val="32"/>
          <w:lang w:val="zh-TW" w:eastAsia="zh-CN"/>
        </w:rPr>
        <w:t>为保证</w:t>
      </w:r>
      <w:r>
        <w:rPr>
          <w:rFonts w:hint="default" w:ascii="Times New Roman" w:hAnsi="Times New Roman" w:eastAsia="仿宋" w:cs="Times New Roman"/>
          <w:sz w:val="32"/>
          <w:szCs w:val="32"/>
          <w:lang w:val="en-US" w:eastAsia="zh-CN"/>
        </w:rPr>
        <w:t>产地</w:t>
      </w:r>
      <w:r>
        <w:rPr>
          <w:rFonts w:hint="default" w:ascii="Times New Roman" w:hAnsi="Times New Roman" w:eastAsia="仿宋" w:cs="Times New Roman"/>
          <w:sz w:val="32"/>
          <w:szCs w:val="32"/>
          <w:lang w:val="zh-TW" w:eastAsia="zh-CN"/>
        </w:rPr>
        <w:t>范围内所产“宜春野茶油”的品质和质量</w:t>
      </w:r>
      <w:r>
        <w:rPr>
          <w:rFonts w:hint="default" w:ascii="Times New Roman" w:hAnsi="Times New Roman" w:eastAsia="仿宋" w:cs="Times New Roman"/>
          <w:sz w:val="32"/>
          <w:szCs w:val="32"/>
        </w:rPr>
        <w:t>，本标准从</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感官品质</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“理化指标”、“</w:t>
      </w: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rPr>
        <w:t>指标”</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“净含量”</w:t>
      </w:r>
      <w:r>
        <w:rPr>
          <w:rFonts w:hint="default" w:ascii="Times New Roman" w:hAnsi="Times New Roman" w:eastAsia="仿宋" w:cs="Times New Roman"/>
          <w:sz w:val="32"/>
          <w:szCs w:val="32"/>
          <w:lang w:val="en-US" w:eastAsia="zh-CN"/>
        </w:rPr>
        <w:t>和“其他”5</w:t>
      </w:r>
      <w:r>
        <w:rPr>
          <w:rFonts w:hint="default" w:ascii="Times New Roman" w:hAnsi="Times New Roman" w:eastAsia="仿宋" w:cs="Times New Roman"/>
          <w:sz w:val="32"/>
          <w:szCs w:val="32"/>
        </w:rPr>
        <w:t>个方面进行要求</w:t>
      </w:r>
      <w:r>
        <w:rPr>
          <w:rFonts w:hint="default" w:ascii="Times New Roman" w:hAnsi="Times New Roman" w:eastAsia="仿宋" w:cs="Times New Roman"/>
          <w:sz w:val="32"/>
          <w:szCs w:val="32"/>
          <w:lang w:eastAsia="zh-CN"/>
        </w:rPr>
        <w:t>。其中“</w:t>
      </w:r>
      <w:r>
        <w:rPr>
          <w:rFonts w:hint="default" w:ascii="Times New Roman" w:hAnsi="Times New Roman" w:eastAsia="仿宋" w:cs="Times New Roman"/>
          <w:sz w:val="32"/>
          <w:szCs w:val="32"/>
        </w:rPr>
        <w:t>感官</w:t>
      </w:r>
      <w:r>
        <w:rPr>
          <w:rFonts w:hint="default" w:ascii="Times New Roman" w:hAnsi="Times New Roman" w:eastAsia="仿宋" w:cs="Times New Roman"/>
          <w:sz w:val="32"/>
          <w:szCs w:val="32"/>
          <w:lang w:val="en-US" w:eastAsia="zh-CN"/>
        </w:rPr>
        <w:t>品质</w:t>
      </w:r>
      <w:r>
        <w:rPr>
          <w:rFonts w:hint="default" w:ascii="Times New Roman" w:hAnsi="Times New Roman" w:eastAsia="仿宋" w:cs="Times New Roman"/>
          <w:sz w:val="32"/>
          <w:szCs w:val="32"/>
        </w:rPr>
        <w:t>”、“理化指标”</w:t>
      </w:r>
      <w:r>
        <w:rPr>
          <w:rFonts w:hint="default" w:ascii="Times New Roman" w:hAnsi="Times New Roman" w:eastAsia="仿宋" w:cs="Times New Roman"/>
          <w:sz w:val="32"/>
          <w:szCs w:val="32"/>
          <w:lang w:eastAsia="zh-CN"/>
        </w:rPr>
        <w:t>为“地理标志产品</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eastAsia="zh-CN"/>
        </w:rPr>
        <w:t>宜春野茶油”的产品特色指标，指标</w:t>
      </w:r>
      <w:r>
        <w:rPr>
          <w:rFonts w:hint="eastAsia" w:eastAsia="仿宋" w:cs="Times New Roman"/>
          <w:sz w:val="32"/>
          <w:szCs w:val="32"/>
          <w:lang w:val="en-US" w:eastAsia="zh-CN"/>
        </w:rPr>
        <w:t>的</w:t>
      </w:r>
      <w:r>
        <w:rPr>
          <w:rFonts w:hint="default" w:ascii="Times New Roman" w:hAnsi="Times New Roman" w:eastAsia="仿宋" w:cs="Times New Roman"/>
          <w:sz w:val="32"/>
          <w:szCs w:val="32"/>
          <w:lang w:eastAsia="zh-CN"/>
        </w:rPr>
        <w:t>确</w:t>
      </w:r>
      <w:r>
        <w:rPr>
          <w:rFonts w:hint="default" w:ascii="Times New Roman" w:hAnsi="Times New Roman" w:eastAsia="仿宋" w:cs="Times New Roman"/>
          <w:sz w:val="32"/>
          <w:szCs w:val="32"/>
          <w:lang w:val="en-US" w:eastAsia="zh-CN"/>
        </w:rPr>
        <w:t>立</w:t>
      </w:r>
      <w:r>
        <w:rPr>
          <w:rFonts w:hint="eastAsia" w:eastAsia="仿宋" w:cs="Times New Roman"/>
          <w:sz w:val="32"/>
          <w:szCs w:val="32"/>
          <w:lang w:val="en-US" w:eastAsia="zh-CN"/>
        </w:rPr>
        <w:t>来源于</w:t>
      </w:r>
      <w:r>
        <w:rPr>
          <w:rFonts w:hint="default" w:ascii="Times New Roman" w:hAnsi="Times New Roman" w:eastAsia="仿宋" w:cs="Times New Roman"/>
          <w:sz w:val="32"/>
          <w:szCs w:val="32"/>
          <w:highlight w:val="none"/>
          <w:lang w:val="zh-Hans" w:eastAsia="zh-Hans"/>
        </w:rPr>
        <w:t>代表性</w:t>
      </w:r>
      <w:r>
        <w:rPr>
          <w:rFonts w:hint="default" w:ascii="Times New Roman" w:hAnsi="Times New Roman" w:eastAsia="仿宋" w:cs="Times New Roman"/>
          <w:sz w:val="32"/>
          <w:szCs w:val="32"/>
          <w:highlight w:val="none"/>
          <w:lang w:val="en-US" w:eastAsia="zh-CN"/>
        </w:rPr>
        <w:t>茶油样</w:t>
      </w:r>
      <w:r>
        <w:rPr>
          <w:rFonts w:hint="default" w:ascii="Times New Roman" w:hAnsi="Times New Roman" w:eastAsia="仿宋" w:cs="Times New Roman"/>
          <w:sz w:val="32"/>
          <w:szCs w:val="32"/>
          <w:lang w:val="zh-Hans" w:eastAsia="zh-CN"/>
        </w:rPr>
        <w:t>的</w:t>
      </w:r>
      <w:r>
        <w:rPr>
          <w:rFonts w:hint="default" w:ascii="Times New Roman" w:hAnsi="Times New Roman" w:eastAsia="仿宋" w:cs="Times New Roman"/>
          <w:sz w:val="32"/>
          <w:szCs w:val="32"/>
          <w:lang w:val="zh-Hans" w:eastAsia="zh-Hans"/>
        </w:rPr>
        <w:t>检测</w:t>
      </w:r>
      <w:r>
        <w:rPr>
          <w:rFonts w:hint="default" w:ascii="Times New Roman" w:hAnsi="Times New Roman" w:eastAsia="仿宋" w:cs="Times New Roman"/>
          <w:sz w:val="32"/>
          <w:szCs w:val="32"/>
          <w:lang w:val="zh-Hans" w:eastAsia="zh-CN"/>
        </w:rPr>
        <w:t>分析结果。其茶油来源于保护区范围内的</w:t>
      </w:r>
      <w:r>
        <w:rPr>
          <w:rFonts w:hint="default" w:ascii="Times New Roman" w:hAnsi="Times New Roman" w:eastAsia="仿宋" w:cs="Times New Roman"/>
          <w:kern w:val="0"/>
          <w:sz w:val="32"/>
          <w:szCs w:val="32"/>
          <w:lang w:val="zh-CN"/>
        </w:rPr>
        <w:t>核心产区</w:t>
      </w:r>
      <w:r>
        <w:rPr>
          <w:rFonts w:hint="default" w:ascii="Times New Roman" w:hAnsi="Times New Roman" w:eastAsia="仿宋" w:cs="Times New Roman"/>
          <w:kern w:val="0"/>
          <w:sz w:val="32"/>
          <w:szCs w:val="32"/>
          <w:lang w:val="en-US" w:eastAsia="zh-CN"/>
        </w:rPr>
        <w:t>。</w:t>
      </w:r>
    </w:p>
    <w:p>
      <w:pPr>
        <w:numPr>
          <w:ilvl w:val="0"/>
          <w:numId w:val="4"/>
        </w:num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感官品质</w:t>
      </w:r>
    </w:p>
    <w:p>
      <w:pPr>
        <w:numPr>
          <w:ilvl w:val="0"/>
          <w:numId w:val="0"/>
        </w:numPr>
        <w:spacing w:line="360" w:lineRule="auto"/>
        <w:ind w:firstLine="420" w:firstLineChars="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按GB/T 5525《植物油脂 透明度、气味、滋味鉴定法》和GB/T 5009.37《食用植物油卫生标准的分析方法》鉴定茶油的色泽、透明度、气味滋味3项感官品质，经整理分析形成了地理标志产品宜春野茶油的3项特色因子，包括色泽、透明度、气味滋味。</w:t>
      </w:r>
    </w:p>
    <w:p>
      <w:pPr>
        <w:numPr>
          <w:ilvl w:val="0"/>
          <w:numId w:val="4"/>
        </w:numPr>
        <w:spacing w:line="360" w:lineRule="auto"/>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val="en-US" w:eastAsia="zh-CN"/>
        </w:rPr>
        <w:t>理化指标</w:t>
      </w:r>
    </w:p>
    <w:p>
      <w:pPr>
        <w:spacing w:line="360" w:lineRule="auto"/>
        <w:ind w:firstLine="640" w:firstLineChars="200"/>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规定了宜春野茶油水分</w:t>
      </w:r>
      <w:r>
        <w:rPr>
          <w:rFonts w:hint="default" w:ascii="Times New Roman" w:hAnsi="Times New Roman" w:eastAsia="仿宋" w:cs="Times New Roman"/>
          <w:sz w:val="32"/>
          <w:szCs w:val="32"/>
          <w:lang w:val="en-US" w:eastAsia="zh-CN"/>
        </w:rPr>
        <w:t>及挥发物含量</w:t>
      </w:r>
      <w:r>
        <w:rPr>
          <w:rFonts w:hint="default" w:ascii="Times New Roman" w:hAnsi="Times New Roman" w:eastAsia="仿宋" w:cs="Times New Roman"/>
          <w:sz w:val="32"/>
          <w:szCs w:val="32"/>
          <w:lang w:val="zh-TW" w:eastAsia="zh-CN"/>
        </w:rPr>
        <w:t>、不溶性杂质含量、酸价、过氧化值、溶剂残留量、油酸、维生素E、角鲨烯</w:t>
      </w:r>
      <w:r>
        <w:rPr>
          <w:rFonts w:hint="default"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lang w:val="zh-TW" w:eastAsia="zh-CN"/>
        </w:rPr>
        <w:t>项指标的要求，限值参考了所有检测样品的最低值或最高值。</w:t>
      </w:r>
    </w:p>
    <w:p>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a）</w:t>
      </w:r>
      <w:r>
        <w:rPr>
          <w:rFonts w:hint="default" w:ascii="Times New Roman" w:hAnsi="Times New Roman" w:eastAsia="仿宋" w:cs="Times New Roman"/>
          <w:sz w:val="32"/>
          <w:szCs w:val="32"/>
          <w:lang w:val="en-US" w:eastAsia="zh-CN"/>
        </w:rPr>
        <w:t>水分及挥发物含量</w:t>
      </w:r>
      <w:r>
        <w:rPr>
          <w:rFonts w:hint="default" w:ascii="Times New Roman" w:hAnsi="Times New Roman" w:eastAsia="仿宋" w:cs="Times New Roman"/>
          <w:sz w:val="32"/>
          <w:szCs w:val="32"/>
          <w:lang w:val="zh-Hans" w:eastAsia="zh-Hans"/>
        </w:rPr>
        <w:t>。水分及挥发物含量</w:t>
      </w:r>
      <w:r>
        <w:rPr>
          <w:rFonts w:hint="default" w:ascii="Times New Roman" w:hAnsi="Times New Roman" w:eastAsia="仿宋" w:cs="Times New Roman"/>
          <w:sz w:val="32"/>
          <w:szCs w:val="32"/>
          <w:lang w:val="en-US" w:eastAsia="zh-CN"/>
        </w:rPr>
        <w:t>不仅与茶油等级有关</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还</w:t>
      </w:r>
      <w:r>
        <w:rPr>
          <w:rFonts w:hint="default" w:ascii="Times New Roman" w:hAnsi="Times New Roman" w:eastAsia="仿宋" w:cs="Times New Roman"/>
          <w:sz w:val="32"/>
          <w:szCs w:val="32"/>
          <w:lang w:val="zh-Hans" w:eastAsia="zh-Hans"/>
        </w:rPr>
        <w:t>关系到</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lang w:val="zh-Hans" w:eastAsia="zh-Hans"/>
        </w:rPr>
        <w:t>的品质与经济价值，将</w:t>
      </w:r>
      <w:r>
        <w:rPr>
          <w:rFonts w:hint="default" w:ascii="Times New Roman" w:hAnsi="Times New Roman" w:eastAsia="仿宋" w:cs="Times New Roman"/>
          <w:sz w:val="32"/>
          <w:szCs w:val="32"/>
          <w:lang w:val="en-US" w:eastAsia="zh-CN"/>
        </w:rPr>
        <w:t>一级</w:t>
      </w:r>
      <w:r>
        <w:rPr>
          <w:rFonts w:hint="default" w:ascii="Times New Roman" w:hAnsi="Times New Roman" w:eastAsia="仿宋" w:cs="Times New Roman"/>
          <w:sz w:val="32"/>
          <w:szCs w:val="32"/>
          <w:lang w:val="zh-Hans" w:eastAsia="zh-Hans"/>
        </w:rPr>
        <w:t>指标</w:t>
      </w:r>
      <w:r>
        <w:rPr>
          <w:rFonts w:hint="default" w:ascii="Times New Roman" w:hAnsi="Times New Roman" w:eastAsia="仿宋" w:cs="Times New Roman"/>
          <w:sz w:val="32"/>
          <w:szCs w:val="32"/>
          <w:lang w:val="en-US" w:eastAsia="zh-CN"/>
        </w:rPr>
        <w:t>含量</w:t>
      </w:r>
      <w:r>
        <w:rPr>
          <w:rFonts w:hint="default" w:ascii="Times New Roman" w:hAnsi="Times New Roman" w:eastAsia="仿宋" w:cs="Times New Roman"/>
          <w:sz w:val="32"/>
          <w:szCs w:val="32"/>
          <w:lang w:val="zh-Hans" w:eastAsia="zh-Hans"/>
        </w:rPr>
        <w:t>定为≤</w:t>
      </w:r>
      <w:r>
        <w:rPr>
          <w:rFonts w:hint="default" w:ascii="Times New Roman" w:hAnsi="Times New Roman" w:eastAsia="仿宋" w:cs="Times New Roman"/>
          <w:sz w:val="32"/>
          <w:szCs w:val="32"/>
          <w:lang w:val="en-US" w:eastAsia="zh-CN"/>
        </w:rPr>
        <w:t>0.10</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二级指标含量定为≤0.20%。</w:t>
      </w:r>
      <w:r>
        <w:rPr>
          <w:rFonts w:hint="default" w:ascii="Times New Roman" w:hAnsi="Times New Roman" w:eastAsia="仿宋" w:cs="Times New Roman"/>
          <w:sz w:val="32"/>
          <w:szCs w:val="32"/>
          <w:lang w:val="zh-Hans" w:eastAsia="zh-Hans"/>
        </w:rPr>
        <w:t xml:space="preserve">与国标GB/T </w:t>
      </w:r>
      <w:r>
        <w:rPr>
          <w:rFonts w:hint="default" w:ascii="Times New Roman" w:hAnsi="Times New Roman" w:eastAsia="仿宋" w:cs="Times New Roman"/>
          <w:sz w:val="32"/>
          <w:szCs w:val="32"/>
          <w:lang w:val="en-US" w:eastAsia="zh-CN"/>
        </w:rPr>
        <w:t>11765</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油茶籽油</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压榨法油茶籽油一级含量</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0.10</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和压榨法油茶籽油二级含量≤0.20%</w:t>
      </w:r>
      <w:r>
        <w:rPr>
          <w:rFonts w:hint="default" w:ascii="Times New Roman" w:hAnsi="Times New Roman" w:eastAsia="仿宋" w:cs="Times New Roman"/>
          <w:sz w:val="32"/>
          <w:szCs w:val="32"/>
          <w:lang w:val="zh-Hans" w:eastAsia="zh-Hans"/>
        </w:rPr>
        <w:t>要求相同。</w:t>
      </w:r>
    </w:p>
    <w:p>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b）不溶性杂质含量。</w:t>
      </w:r>
      <w:r>
        <w:rPr>
          <w:rFonts w:hint="default" w:ascii="Times New Roman" w:hAnsi="Times New Roman" w:eastAsia="仿宋" w:cs="Times New Roman"/>
          <w:sz w:val="32"/>
          <w:szCs w:val="32"/>
          <w:lang w:val="en-US" w:eastAsia="zh-CN"/>
        </w:rPr>
        <w:t>不溶性杂质含量</w:t>
      </w:r>
      <w:r>
        <w:rPr>
          <w:rFonts w:hint="default" w:ascii="Times New Roman" w:hAnsi="Times New Roman" w:eastAsia="仿宋" w:cs="Times New Roman"/>
          <w:sz w:val="32"/>
          <w:szCs w:val="32"/>
        </w:rPr>
        <w:t>是</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rPr>
        <w:t>检验项目中既具有品质判定意义又具有</w:t>
      </w: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rPr>
        <w:t>检验意义的化学指标。</w:t>
      </w:r>
      <w:r>
        <w:rPr>
          <w:rFonts w:hint="default" w:ascii="Times New Roman" w:hAnsi="Times New Roman" w:eastAsia="仿宋" w:cs="Times New Roman"/>
          <w:sz w:val="32"/>
          <w:szCs w:val="32"/>
          <w:lang w:val="zh-Hans" w:eastAsia="zh-Hans"/>
        </w:rPr>
        <w:t>本标准中</w:t>
      </w:r>
      <w:r>
        <w:rPr>
          <w:rFonts w:hint="default" w:ascii="Times New Roman" w:hAnsi="Times New Roman" w:eastAsia="仿宋" w:cs="Times New Roman"/>
          <w:sz w:val="32"/>
          <w:szCs w:val="32"/>
        </w:rPr>
        <w:t>将</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rPr>
        <w:t>的不溶性杂质含量标准</w:t>
      </w:r>
      <w:r>
        <w:rPr>
          <w:rFonts w:hint="default" w:ascii="Times New Roman" w:hAnsi="Times New Roman" w:eastAsia="仿宋" w:cs="Times New Roman"/>
          <w:sz w:val="32"/>
          <w:szCs w:val="32"/>
          <w:lang w:val="en-US" w:eastAsia="zh-CN"/>
        </w:rPr>
        <w:t>进行统一</w:t>
      </w:r>
      <w:r>
        <w:rPr>
          <w:rFonts w:hint="default" w:ascii="Times New Roman" w:hAnsi="Times New Roman" w:eastAsia="仿宋" w:cs="Times New Roman"/>
          <w:sz w:val="32"/>
          <w:szCs w:val="32"/>
        </w:rPr>
        <w:t>控制，</w:t>
      </w:r>
      <w:r>
        <w:rPr>
          <w:rFonts w:hint="default" w:ascii="Times New Roman" w:hAnsi="Times New Roman" w:eastAsia="仿宋" w:cs="Times New Roman"/>
          <w:sz w:val="32"/>
          <w:szCs w:val="32"/>
          <w:lang w:val="en-US" w:eastAsia="zh-CN"/>
        </w:rPr>
        <w:t>都将</w:t>
      </w:r>
      <w:r>
        <w:rPr>
          <w:rFonts w:hint="default" w:ascii="Times New Roman" w:hAnsi="Times New Roman" w:eastAsia="仿宋" w:cs="Times New Roman"/>
          <w:sz w:val="32"/>
          <w:szCs w:val="32"/>
        </w:rPr>
        <w:t>不溶性杂质含量规定控制在</w:t>
      </w:r>
      <w:r>
        <w:rPr>
          <w:rFonts w:hint="default" w:ascii="Times New Roman" w:hAnsi="Times New Roman" w:eastAsia="仿宋" w:cs="Times New Roman"/>
          <w:sz w:val="32"/>
          <w:szCs w:val="32"/>
          <w:lang w:val="en-US" w:eastAsia="zh-CN"/>
        </w:rPr>
        <w:t>0.05</w:t>
      </w:r>
      <w:r>
        <w:rPr>
          <w:rFonts w:hint="default" w:ascii="Times New Roman" w:hAnsi="Times New Roman" w:eastAsia="仿宋" w:cs="Times New Roman"/>
          <w:sz w:val="32"/>
          <w:szCs w:val="32"/>
        </w:rPr>
        <w:t>%以下</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突出</w:t>
      </w:r>
      <w:r>
        <w:rPr>
          <w:rFonts w:hint="default" w:ascii="Times New Roman" w:hAnsi="Times New Roman" w:eastAsia="仿宋" w:cs="Times New Roman"/>
          <w:sz w:val="32"/>
          <w:szCs w:val="32"/>
          <w:lang w:eastAsia="zh-CN"/>
        </w:rPr>
        <w:t>宜春野茶油</w:t>
      </w:r>
      <w:r>
        <w:rPr>
          <w:rFonts w:hint="default" w:ascii="Times New Roman" w:hAnsi="Times New Roman" w:eastAsia="仿宋" w:cs="Times New Roman"/>
          <w:sz w:val="32"/>
          <w:szCs w:val="32"/>
        </w:rPr>
        <w:t>产品质量安全方面的优势。</w:t>
      </w:r>
    </w:p>
    <w:p>
      <w:pPr>
        <w:spacing w:line="360" w:lineRule="auto"/>
        <w:ind w:firstLine="480"/>
        <w:rPr>
          <w:rFonts w:hint="default" w:ascii="Times New Roman" w:hAnsi="Times New Roman" w:eastAsia="仿宋" w:cs="Times New Roman"/>
          <w:sz w:val="32"/>
          <w:szCs w:val="32"/>
          <w:lang w:val="en-US" w:eastAsia="zh-Hans"/>
        </w:rPr>
      </w:pPr>
      <w:r>
        <w:rPr>
          <w:rFonts w:hint="default" w:ascii="Times New Roman" w:hAnsi="Times New Roman" w:eastAsia="仿宋" w:cs="Times New Roman"/>
          <w:sz w:val="32"/>
          <w:szCs w:val="32"/>
          <w:lang w:val="zh-Hans" w:eastAsia="zh-Hans"/>
        </w:rPr>
        <w:t>c）酸价。</w:t>
      </w:r>
      <w:r>
        <w:rPr>
          <w:rFonts w:hint="default" w:ascii="Times New Roman" w:hAnsi="Times New Roman" w:eastAsia="仿宋" w:cs="Times New Roman"/>
          <w:sz w:val="32"/>
          <w:szCs w:val="32"/>
          <w:lang w:val="en-US" w:eastAsia="zh-CN"/>
        </w:rPr>
        <w:t>由于酸价是茶油的重要质量指标，因此</w:t>
      </w:r>
      <w:r>
        <w:rPr>
          <w:rFonts w:hint="default" w:ascii="Times New Roman" w:hAnsi="Times New Roman" w:eastAsia="仿宋" w:cs="Times New Roman"/>
          <w:sz w:val="32"/>
          <w:szCs w:val="32"/>
          <w:lang w:val="zh-Hans" w:eastAsia="zh-Hans"/>
        </w:rPr>
        <w:t>基于国家标准，规定</w:t>
      </w:r>
      <w:r>
        <w:rPr>
          <w:rFonts w:hint="default" w:ascii="Times New Roman" w:hAnsi="Times New Roman" w:eastAsia="仿宋" w:cs="Times New Roman"/>
          <w:sz w:val="32"/>
          <w:szCs w:val="32"/>
          <w:lang w:eastAsia="zh-CN"/>
        </w:rPr>
        <w:t>宜春野茶油一级指标定为≤</w:t>
      </w:r>
      <w:r>
        <w:rPr>
          <w:rFonts w:hint="default" w:ascii="Times New Roman" w:hAnsi="Times New Roman" w:eastAsia="仿宋" w:cs="Times New Roman"/>
          <w:sz w:val="32"/>
          <w:szCs w:val="32"/>
          <w:lang w:val="en-US" w:eastAsia="zh-CN"/>
        </w:rPr>
        <w:t>2.0 mg/g</w:t>
      </w:r>
      <w:r>
        <w:rPr>
          <w:rFonts w:hint="default" w:ascii="Times New Roman" w:hAnsi="Times New Roman" w:eastAsia="仿宋" w:cs="Times New Roman"/>
          <w:sz w:val="32"/>
          <w:szCs w:val="32"/>
          <w:lang w:eastAsia="zh-CN"/>
        </w:rPr>
        <w:t>，二级指标定为≤</w:t>
      </w:r>
      <w:r>
        <w:rPr>
          <w:rFonts w:hint="default" w:ascii="Times New Roman" w:hAnsi="Times New Roman" w:eastAsia="仿宋" w:cs="Times New Roman"/>
          <w:sz w:val="32"/>
          <w:szCs w:val="32"/>
          <w:lang w:val="en-US" w:eastAsia="zh-CN"/>
        </w:rPr>
        <w:t>3.0 mg/g</w:t>
      </w:r>
      <w:r>
        <w:rPr>
          <w:rFonts w:hint="default" w:ascii="Times New Roman" w:hAnsi="Times New Roman" w:eastAsia="仿宋" w:cs="Times New Roman"/>
          <w:sz w:val="32"/>
          <w:szCs w:val="32"/>
          <w:lang w:eastAsia="zh-CN"/>
        </w:rPr>
        <w:t>。</w:t>
      </w:r>
    </w:p>
    <w:p>
      <w:pPr>
        <w:spacing w:line="360" w:lineRule="auto"/>
        <w:ind w:firstLine="48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d）过氧化值。</w:t>
      </w:r>
      <w:r>
        <w:rPr>
          <w:rFonts w:hint="default" w:ascii="Times New Roman" w:hAnsi="Times New Roman" w:eastAsia="仿宋" w:cs="Times New Roman"/>
          <w:sz w:val="32"/>
          <w:szCs w:val="32"/>
          <w:lang w:val="en-US" w:eastAsia="zh-CN"/>
        </w:rPr>
        <w:t>控制油茶籽油的过氧化值对于保证油品的品质和储存稳定性具有重要意义</w:t>
      </w:r>
      <w:r>
        <w:rPr>
          <w:rFonts w:hint="default" w:ascii="Times New Roman" w:hAnsi="Times New Roman" w:eastAsia="仿宋" w:cs="Times New Roman"/>
          <w:sz w:val="32"/>
          <w:szCs w:val="32"/>
          <w:lang w:val="zh-Hans" w:eastAsia="zh-Hans"/>
        </w:rPr>
        <w:t>。本标准中将宜春野茶油的过氧化值标准进行统一控制，都将过氧化值规定控制在0.</w:t>
      </w:r>
      <w:r>
        <w:rPr>
          <w:rFonts w:hint="default" w:ascii="Times New Roman" w:hAnsi="Times New Roman" w:eastAsia="仿宋" w:cs="Times New Roman"/>
          <w:sz w:val="32"/>
          <w:szCs w:val="32"/>
          <w:lang w:val="en-US" w:eastAsia="zh-CN"/>
        </w:rPr>
        <w:t>25 g/100g</w:t>
      </w:r>
      <w:r>
        <w:rPr>
          <w:rFonts w:hint="default" w:ascii="Times New Roman" w:hAnsi="Times New Roman" w:eastAsia="仿宋" w:cs="Times New Roman"/>
          <w:sz w:val="32"/>
          <w:szCs w:val="32"/>
          <w:lang w:val="zh-Hans" w:eastAsia="zh-Hans"/>
        </w:rPr>
        <w:t>以下，与国标GB/T 11765《油茶籽油》压榨法油茶籽油</w:t>
      </w:r>
      <w:r>
        <w:rPr>
          <w:rFonts w:hint="default" w:ascii="Times New Roman" w:hAnsi="Times New Roman" w:eastAsia="仿宋" w:cs="Times New Roman"/>
          <w:sz w:val="32"/>
          <w:szCs w:val="32"/>
          <w:lang w:val="en-US" w:eastAsia="zh-CN"/>
        </w:rPr>
        <w:t>中酸价要求一致。</w:t>
      </w:r>
    </w:p>
    <w:p>
      <w:p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e）溶剂残留量。</w:t>
      </w:r>
      <w:r>
        <w:rPr>
          <w:rFonts w:hint="default" w:ascii="Times New Roman" w:hAnsi="Times New Roman" w:eastAsia="仿宋" w:cs="Times New Roman"/>
          <w:sz w:val="32"/>
          <w:szCs w:val="32"/>
          <w:lang w:val="en-US" w:eastAsia="zh-CN"/>
        </w:rPr>
        <w:t>溶剂残留量严重影响着茶油的安全性和质量，基于国家标准，规定宜春野茶油中溶剂残留量不得检出。</w:t>
      </w:r>
    </w:p>
    <w:p>
      <w:p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f）油酸。油酸作为茶油中主要的脂肪含量成分，对茶油的理化特性和健康效益起着至关重要的作用。根据宜春野茶油的自身特性，规定将宜春野茶油的油酸含量控制在74.0%-87.0%之间。</w:t>
      </w:r>
    </w:p>
    <w:p>
      <w:pPr>
        <w:spacing w:line="360" w:lineRule="auto"/>
        <w:ind w:firstLine="640" w:firstLineChars="200"/>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g）反式脂肪酸。 控制茶油中反式脂肪酸的含量对于保障公共健康、提升产品质量和竞争力、凸显产品品质等方面具有重要意义。为更好凸显宜春野茶油的产品品质，规定宜春野茶油的反式脂肪酸含量不高于0.3%。</w:t>
      </w:r>
    </w:p>
    <w:p>
      <w:pPr>
        <w:spacing w:line="360" w:lineRule="auto"/>
        <w:ind w:firstLine="640" w:firstLineChars="200"/>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h</w:t>
      </w:r>
      <w:r>
        <w:rPr>
          <w:rFonts w:hint="default" w:ascii="Times New Roman" w:hAnsi="Times New Roman" w:eastAsia="仿宋" w:cs="Times New Roman"/>
          <w:sz w:val="32"/>
          <w:szCs w:val="32"/>
          <w:lang w:val="en-US" w:eastAsia="zh-CN"/>
        </w:rPr>
        <w:t>）维生素E。油茶中维生素E含量不仅直接影响油茶的抗氧化性和营养价值，还间接影响消费者的选择及产品市场表现力。为充分凸显宜春野茶油的产品质量优势，规定宜春野茶油维生素E含量的最低限为42 mg/kg。</w:t>
      </w:r>
    </w:p>
    <w:p>
      <w:pPr>
        <w:spacing w:line="360" w:lineRule="auto"/>
        <w:ind w:firstLine="640" w:firstLineChars="200"/>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i</w:t>
      </w:r>
      <w:r>
        <w:rPr>
          <w:rFonts w:hint="default" w:ascii="Times New Roman" w:hAnsi="Times New Roman" w:eastAsia="仿宋" w:cs="Times New Roman"/>
          <w:sz w:val="32"/>
          <w:szCs w:val="32"/>
          <w:lang w:val="en-US" w:eastAsia="zh-CN"/>
        </w:rPr>
        <w:t>）角鲨烯。角鲨烯是一种天然的有机化合物，具有多种生物活性和健康益处。油茶中的角鲨烯含量对其品质、功效及应用有着显著影响。根据宜春野茶油的品质基础，规定其角鲨烯含量不得低于6.3 mg/kg，以进一步凸显宜春野茶油的产品品质和健康价值。</w:t>
      </w:r>
    </w:p>
    <w:p>
      <w:pPr>
        <w:numPr>
          <w:ilvl w:val="0"/>
          <w:numId w:val="4"/>
        </w:numPr>
        <w:spacing w:line="360" w:lineRule="auto"/>
        <w:ind w:firstLine="640" w:firstLineChars="20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lang w:val="zh-Hans" w:eastAsia="zh-Hans"/>
        </w:rPr>
        <w:t>指标</w:t>
      </w:r>
    </w:p>
    <w:p>
      <w:pPr>
        <w:spacing w:line="360" w:lineRule="auto"/>
        <w:ind w:firstLine="480"/>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CN"/>
        </w:rPr>
        <w:t>本标准中宜春野茶油</w:t>
      </w:r>
      <w:r>
        <w:rPr>
          <w:rFonts w:hint="default" w:ascii="Times New Roman" w:hAnsi="Times New Roman" w:eastAsia="仿宋" w:cs="Times New Roman"/>
          <w:sz w:val="32"/>
          <w:szCs w:val="32"/>
          <w:lang w:val="en-US" w:eastAsia="zh-CN"/>
        </w:rPr>
        <w:t>安全指标符合</w:t>
      </w:r>
      <w:r>
        <w:rPr>
          <w:rFonts w:hint="default" w:ascii="Times New Roman" w:hAnsi="Times New Roman" w:eastAsia="仿宋" w:cs="Times New Roman"/>
          <w:sz w:val="32"/>
          <w:szCs w:val="32"/>
          <w:lang w:val="zh-Hans" w:eastAsia="zh-Hans"/>
        </w:rPr>
        <w:t>《食品安全国家标准 植物油》（</w:t>
      </w:r>
      <w:r>
        <w:rPr>
          <w:rFonts w:hint="default" w:ascii="Times New Roman" w:hAnsi="Times New Roman" w:eastAsia="仿宋" w:cs="Times New Roman"/>
          <w:sz w:val="32"/>
          <w:szCs w:val="32"/>
          <w:lang w:eastAsia="zh-CN"/>
        </w:rPr>
        <w:t>GB 27</w:t>
      </w:r>
      <w:r>
        <w:rPr>
          <w:rFonts w:hint="default"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zh-Hans" w:eastAsia="zh-CN"/>
        </w:rPr>
        <w:t>及其它食品安全标准、相关法律法规及政策并按</w:t>
      </w:r>
      <w:r>
        <w:rPr>
          <w:rFonts w:hint="default" w:ascii="Times New Roman" w:hAnsi="Times New Roman" w:eastAsia="仿宋" w:cs="Times New Roman"/>
          <w:sz w:val="32"/>
          <w:szCs w:val="32"/>
          <w:lang w:val="zh-Hans" w:eastAsia="zh-Hans"/>
        </w:rPr>
        <w:t>最新规定</w:t>
      </w:r>
      <w:r>
        <w:rPr>
          <w:rFonts w:hint="default" w:ascii="Times New Roman" w:hAnsi="Times New Roman" w:eastAsia="仿宋" w:cs="Times New Roman"/>
          <w:sz w:val="32"/>
          <w:szCs w:val="32"/>
          <w:lang w:val="zh-Hans" w:eastAsia="zh-CN"/>
        </w:rPr>
        <w:t>执行</w:t>
      </w:r>
      <w:r>
        <w:rPr>
          <w:rFonts w:hint="default" w:ascii="Times New Roman" w:hAnsi="Times New Roman" w:eastAsia="仿宋" w:cs="Times New Roman"/>
          <w:sz w:val="32"/>
          <w:szCs w:val="32"/>
          <w:lang w:val="zh-Hans" w:eastAsia="zh-Hans"/>
        </w:rPr>
        <w:t>。</w:t>
      </w:r>
    </w:p>
    <w:p>
      <w:pPr>
        <w:numPr>
          <w:ilvl w:val="0"/>
          <w:numId w:val="4"/>
        </w:numPr>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净含量</w:t>
      </w:r>
    </w:p>
    <w:p>
      <w:pPr>
        <w:spacing w:line="360" w:lineRule="auto"/>
        <w:ind w:firstLine="480"/>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sz w:val="32"/>
          <w:szCs w:val="32"/>
          <w:lang w:eastAsia="zh-CN"/>
        </w:rPr>
        <w:t>净含量应</w:t>
      </w:r>
      <w:r>
        <w:rPr>
          <w:rFonts w:hint="default" w:ascii="Times New Roman" w:hAnsi="Times New Roman" w:eastAsia="仿宋" w:cs="Times New Roman"/>
          <w:sz w:val="32"/>
          <w:szCs w:val="32"/>
        </w:rPr>
        <w:t>符合</w:t>
      </w:r>
      <w:r>
        <w:rPr>
          <w:rFonts w:hint="default" w:ascii="Times New Roman" w:hAnsi="Times New Roman" w:eastAsia="仿宋" w:cs="Times New Roman"/>
          <w:sz w:val="32"/>
          <w:szCs w:val="32"/>
          <w:lang w:val="en-US" w:eastAsia="zh-CN"/>
        </w:rPr>
        <w:t>《定量包装商品计量监督管理办法》国家市场监督管理总局[2023]第70号令的</w:t>
      </w:r>
      <w:r>
        <w:rPr>
          <w:rFonts w:hint="default" w:ascii="Times New Roman" w:hAnsi="Times New Roman" w:eastAsia="仿宋" w:cs="Times New Roman"/>
          <w:sz w:val="32"/>
          <w:szCs w:val="32"/>
        </w:rPr>
        <w:t>规定</w:t>
      </w:r>
      <w:r>
        <w:rPr>
          <w:rFonts w:hint="default" w:ascii="Times New Roman" w:hAnsi="Times New Roman" w:eastAsia="仿宋" w:cs="Times New Roman"/>
          <w:sz w:val="32"/>
          <w:szCs w:val="32"/>
          <w:lang w:eastAsia="zh-CN"/>
        </w:rPr>
        <w:t>；净含量的检验方法按JJF 1070《</w:t>
      </w:r>
      <w:r>
        <w:rPr>
          <w:rFonts w:hint="default" w:ascii="Times New Roman" w:hAnsi="Times New Roman" w:eastAsia="仿宋" w:cs="Times New Roman"/>
          <w:sz w:val="32"/>
          <w:szCs w:val="32"/>
          <w:lang w:val="en-US" w:eastAsia="zh-CN"/>
        </w:rPr>
        <w:t>定</w:t>
      </w:r>
      <w:r>
        <w:rPr>
          <w:rFonts w:hint="default" w:ascii="Times New Roman" w:hAnsi="Times New Roman" w:eastAsia="仿宋" w:cs="Times New Roman"/>
          <w:sz w:val="32"/>
          <w:szCs w:val="32"/>
          <w:lang w:eastAsia="zh-CN"/>
        </w:rPr>
        <w:t>量包装商品净含量计量检验规则》</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lang w:eastAsia="zh-CN"/>
        </w:rPr>
        <w:t>规定执行</w:t>
      </w:r>
      <w:r>
        <w:rPr>
          <w:rFonts w:hint="default" w:ascii="Times New Roman" w:hAnsi="Times New Roman" w:eastAsia="仿宋" w:cs="Times New Roman"/>
          <w:sz w:val="32"/>
          <w:szCs w:val="32"/>
        </w:rPr>
        <w:t>。</w:t>
      </w:r>
    </w:p>
    <w:p>
      <w:pPr>
        <w:numPr>
          <w:ilvl w:val="0"/>
          <w:numId w:val="1"/>
        </w:numPr>
        <w:jc w:val="both"/>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主要参考标准</w:t>
      </w:r>
      <w:r>
        <w:rPr>
          <w:rFonts w:hint="default" w:ascii="Times New Roman" w:hAnsi="Times New Roman" w:eastAsia="黑体" w:cs="Times New Roman"/>
          <w:sz w:val="32"/>
          <w:szCs w:val="32"/>
          <w:lang w:val="en-US" w:eastAsia="zh-CN"/>
        </w:rPr>
        <w:t>及</w:t>
      </w:r>
      <w:r>
        <w:rPr>
          <w:rFonts w:hint="default" w:ascii="Times New Roman" w:hAnsi="Times New Roman" w:eastAsia="黑体" w:cs="Times New Roman"/>
          <w:sz w:val="32"/>
          <w:szCs w:val="32"/>
          <w:lang w:val="zh-CN" w:eastAsia="zh-CN"/>
        </w:rPr>
        <w:t>技术资料</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191 包装储运图示标志</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2716 食品安全国家标准 植物油</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5009.37 食用植物油卫生标准的分析方法</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5009.82 食品安全国家标准 食品中维生素A、D、E的测定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5009.168 食品安全国家标准 食品中脂肪酸的测定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5009.227 食品安全国家标准 食品中过氧化值的测定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5009.229 食品安全国家标准 食品中酸价的测定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5009.236 食品安全国家标准 动植物油脂水分及挥发物的测定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5009.257 食品安全国家标准 食品中反式脂肪酸的测定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5009.262 食品安全国家标准 食品中溶剂残留量的测定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5524 动植物油脂 扦样</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5525 植物油脂 透明度、气味、滋味鉴定法</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GB/T 5526 植物油脂检验 比重测定法 </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7718 食品安全国家标准 预包装食品标签通则</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11765 油茶籽油</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15688 动植物油脂 不溶性杂质含量的测定</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GB/T 17374 食用植物油销售包装</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23350 限制商品过度包装要求 食品和化妆品</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GB 28050 食品安全国家标准 预包装食品营养标签通则</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JJF 1070 定量包装商品净含量计量检验规则</w:t>
      </w:r>
    </w:p>
    <w:p>
      <w:pPr>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LS/T 6120 粮油检验 植物油中角鲨烯的测定 气相色谱法</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lang w:val="en-US" w:eastAsia="zh-CN"/>
        </w:rPr>
        <w:t>《定量包装商品计量监督管理办法》 国家市场监督管理总局[2023]第70号令</w:t>
      </w:r>
      <w:r>
        <w:rPr>
          <w:rFonts w:hint="default" w:ascii="Times New Roman" w:hAnsi="Times New Roman" w:eastAsia="仿宋_GB2312" w:cs="Times New Roman"/>
          <w:sz w:val="32"/>
          <w:szCs w:val="32"/>
        </w:rPr>
        <w:t xml:space="preserve"> </w:t>
      </w:r>
    </w:p>
    <w:p>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重大意见分歧的处理依据和结果</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w:t>
      </w:r>
    </w:p>
    <w:p>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贯彻标准的措施建议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zh-CN" w:eastAsia="zh-CN"/>
        </w:rPr>
      </w:pPr>
      <w:r>
        <w:rPr>
          <w:rFonts w:hint="default" w:ascii="Times New Roman" w:hAnsi="Times New Roman" w:eastAsia="仿宋" w:cs="Times New Roman"/>
          <w:sz w:val="32"/>
          <w:szCs w:val="32"/>
        </w:rPr>
        <w:t>建议本标准作为推荐性标准，依据本标准可指导企业组织生产和规范地理标志专用标志的使用。本标准的编制有利于规范和提高</w:t>
      </w:r>
      <w:r>
        <w:rPr>
          <w:rFonts w:hint="default" w:ascii="Times New Roman" w:hAnsi="Times New Roman" w:eastAsia="仿宋" w:cs="Times New Roman"/>
          <w:sz w:val="32"/>
          <w:szCs w:val="32"/>
          <w:lang w:val="en-US" w:eastAsia="zh-CN"/>
        </w:rPr>
        <w:t>宜春野茶油的</w:t>
      </w:r>
      <w:r>
        <w:rPr>
          <w:rFonts w:hint="default" w:ascii="Times New Roman" w:hAnsi="Times New Roman" w:eastAsia="仿宋" w:cs="Times New Roman"/>
          <w:sz w:val="32"/>
          <w:szCs w:val="32"/>
        </w:rPr>
        <w:t>品质,提升</w:t>
      </w:r>
      <w:r>
        <w:rPr>
          <w:rFonts w:hint="default" w:ascii="Times New Roman" w:hAnsi="Times New Roman" w:eastAsia="仿宋" w:cs="Times New Roman"/>
          <w:sz w:val="32"/>
          <w:szCs w:val="32"/>
          <w:lang w:val="en-US" w:eastAsia="zh-CN"/>
        </w:rPr>
        <w:t>宜春野茶油</w:t>
      </w:r>
      <w:r>
        <w:rPr>
          <w:rFonts w:hint="default" w:ascii="Times New Roman" w:hAnsi="Times New Roman" w:eastAsia="仿宋" w:cs="Times New Roman"/>
          <w:sz w:val="32"/>
          <w:szCs w:val="32"/>
        </w:rPr>
        <w:t>的知名度,增强其市场竞争力和知识产权保护力度,促进产业的可持续发展。</w:t>
      </w:r>
    </w:p>
    <w:p>
      <w:pPr>
        <w:numPr>
          <w:ilvl w:val="0"/>
          <w:numId w:val="1"/>
        </w:numPr>
        <w:jc w:val="both"/>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其他应说明的事项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w:t>
      </w:r>
    </w:p>
    <w:p>
      <w:pPr>
        <w:autoSpaceDE w:val="0"/>
        <w:autoSpaceDN w:val="0"/>
        <w:adjustRightInd w:val="0"/>
        <w:spacing w:line="520" w:lineRule="exact"/>
        <w:ind w:firstLine="480"/>
        <w:jc w:val="right"/>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《地理标志产品</w:t>
      </w:r>
      <w:r>
        <w:rPr>
          <w:rFonts w:hint="default" w:ascii="Times New Roman" w:hAnsi="Times New Roman" w:eastAsia="仿宋" w:cs="Times New Roman"/>
          <w:kern w:val="0"/>
          <w:sz w:val="32"/>
          <w:szCs w:val="32"/>
          <w:lang w:val="en-US" w:eastAsia="zh-CN"/>
        </w:rPr>
        <w:t xml:space="preserve"> </w:t>
      </w:r>
      <w:r>
        <w:rPr>
          <w:rFonts w:hint="default" w:ascii="Times New Roman" w:hAnsi="Times New Roman" w:eastAsia="仿宋" w:cs="Times New Roman"/>
          <w:kern w:val="0"/>
          <w:sz w:val="32"/>
          <w:szCs w:val="32"/>
          <w:lang w:val="zh-CN"/>
        </w:rPr>
        <w:t>宜春野茶油》标准编制组</w:t>
      </w:r>
    </w:p>
    <w:p>
      <w:pPr>
        <w:autoSpaceDE w:val="0"/>
        <w:autoSpaceDN w:val="0"/>
        <w:adjustRightInd w:val="0"/>
        <w:spacing w:line="520" w:lineRule="exact"/>
        <w:ind w:right="560" w:firstLine="480"/>
        <w:jc w:val="right"/>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 xml:space="preserve">                                          202</w:t>
      </w:r>
      <w:r>
        <w:rPr>
          <w:rFonts w:hint="default" w:ascii="Times New Roman" w:hAnsi="Times New Roman" w:eastAsia="仿宋" w:cs="Times New Roman"/>
          <w:kern w:val="0"/>
          <w:sz w:val="32"/>
          <w:szCs w:val="32"/>
          <w:lang w:val="en-US" w:eastAsia="zh-CN"/>
        </w:rPr>
        <w:t>4</w:t>
      </w:r>
      <w:r>
        <w:rPr>
          <w:rFonts w:hint="default" w:ascii="Times New Roman" w:hAnsi="Times New Roman" w:eastAsia="仿宋" w:cs="Times New Roman"/>
          <w:kern w:val="0"/>
          <w:sz w:val="32"/>
          <w:szCs w:val="32"/>
          <w:lang w:val="zh-CN"/>
        </w:rPr>
        <w:t>年</w:t>
      </w:r>
      <w:r>
        <w:rPr>
          <w:rFonts w:hint="eastAsia" w:eastAsia="仿宋" w:cs="Times New Roman"/>
          <w:kern w:val="0"/>
          <w:sz w:val="32"/>
          <w:szCs w:val="32"/>
          <w:lang w:val="en-US" w:eastAsia="zh-CN"/>
        </w:rPr>
        <w:t>6</w:t>
      </w:r>
      <w:r>
        <w:rPr>
          <w:rFonts w:hint="default" w:ascii="Times New Roman" w:hAnsi="Times New Roman" w:eastAsia="仿宋" w:cs="Times New Roman"/>
          <w:kern w:val="0"/>
          <w:sz w:val="32"/>
          <w:szCs w:val="32"/>
          <w:lang w:val="zh-CN"/>
        </w:rPr>
        <w:t>月</w:t>
      </w:r>
    </w:p>
    <w:p>
      <w:pPr>
        <w:autoSpaceDE w:val="0"/>
        <w:autoSpaceDN w:val="0"/>
        <w:adjustRightInd w:val="0"/>
        <w:spacing w:line="520" w:lineRule="exact"/>
        <w:ind w:right="560" w:firstLine="480"/>
        <w:jc w:val="right"/>
        <w:rPr>
          <w:rFonts w:hint="default" w:ascii="Times New Roman" w:hAnsi="Times New Roman" w:eastAsia="仿宋_GB2312" w:cs="Times New Roman"/>
          <w:kern w:val="0"/>
          <w:sz w:val="32"/>
          <w:szCs w:val="32"/>
          <w:lang w:val="zh-CN"/>
        </w:rPr>
      </w:pPr>
    </w:p>
    <w:p>
      <w:pPr>
        <w:jc w:val="both"/>
        <w:rPr>
          <w:rFonts w:hint="default" w:ascii="Times New Roman" w:hAnsi="Times New Roman" w:eastAsia="黑体"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E860E"/>
    <w:multiLevelType w:val="singleLevel"/>
    <w:tmpl w:val="CDDE860E"/>
    <w:lvl w:ilvl="0" w:tentative="0">
      <w:start w:val="1"/>
      <w:numFmt w:val="chineseCounting"/>
      <w:suff w:val="nothing"/>
      <w:lvlText w:val="（%1）"/>
      <w:lvlJc w:val="left"/>
      <w:rPr>
        <w:rFonts w:hint="eastAsia"/>
      </w:rPr>
    </w:lvl>
  </w:abstractNum>
  <w:abstractNum w:abstractNumId="1">
    <w:nsid w:val="CEEB1090"/>
    <w:multiLevelType w:val="singleLevel"/>
    <w:tmpl w:val="CEEB1090"/>
    <w:lvl w:ilvl="0" w:tentative="0">
      <w:start w:val="2"/>
      <w:numFmt w:val="decimal"/>
      <w:suff w:val="nothing"/>
      <w:lvlText w:val="（%1）"/>
      <w:lvlJc w:val="left"/>
    </w:lvl>
  </w:abstractNum>
  <w:abstractNum w:abstractNumId="2">
    <w:nsid w:val="110DD41C"/>
    <w:multiLevelType w:val="singleLevel"/>
    <w:tmpl w:val="110DD41C"/>
    <w:lvl w:ilvl="0" w:tentative="0">
      <w:start w:val="1"/>
      <w:numFmt w:val="upperLetter"/>
      <w:lvlText w:val="%1)"/>
      <w:lvlJc w:val="left"/>
      <w:pPr>
        <w:tabs>
          <w:tab w:val="left" w:pos="312"/>
        </w:tabs>
      </w:pPr>
    </w:lvl>
  </w:abstractNum>
  <w:abstractNum w:abstractNumId="3">
    <w:nsid w:val="1F5C7321"/>
    <w:multiLevelType w:val="singleLevel"/>
    <w:tmpl w:val="1F5C7321"/>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D340B"/>
    <w:rsid w:val="005409BC"/>
    <w:rsid w:val="00644D6A"/>
    <w:rsid w:val="00871F18"/>
    <w:rsid w:val="009A62DB"/>
    <w:rsid w:val="00AE2BC3"/>
    <w:rsid w:val="01134A62"/>
    <w:rsid w:val="01596E59"/>
    <w:rsid w:val="0192221B"/>
    <w:rsid w:val="01C23DB8"/>
    <w:rsid w:val="02194004"/>
    <w:rsid w:val="0234126E"/>
    <w:rsid w:val="025559B9"/>
    <w:rsid w:val="02E63CB2"/>
    <w:rsid w:val="033244A1"/>
    <w:rsid w:val="037E11BE"/>
    <w:rsid w:val="03AC2D75"/>
    <w:rsid w:val="03CB07AE"/>
    <w:rsid w:val="03E57950"/>
    <w:rsid w:val="03FC58C7"/>
    <w:rsid w:val="049D7357"/>
    <w:rsid w:val="052F1733"/>
    <w:rsid w:val="05C441FF"/>
    <w:rsid w:val="05DF25F3"/>
    <w:rsid w:val="066B6D4A"/>
    <w:rsid w:val="06854B5A"/>
    <w:rsid w:val="06B572E7"/>
    <w:rsid w:val="07C35152"/>
    <w:rsid w:val="07DA21A7"/>
    <w:rsid w:val="07F91F07"/>
    <w:rsid w:val="08191818"/>
    <w:rsid w:val="084B0BA7"/>
    <w:rsid w:val="08CF5ECA"/>
    <w:rsid w:val="08D66E8B"/>
    <w:rsid w:val="08E31B49"/>
    <w:rsid w:val="09102447"/>
    <w:rsid w:val="096652AF"/>
    <w:rsid w:val="099869CF"/>
    <w:rsid w:val="09BA2382"/>
    <w:rsid w:val="09BD5C83"/>
    <w:rsid w:val="09D86367"/>
    <w:rsid w:val="0A390C09"/>
    <w:rsid w:val="0ABB063D"/>
    <w:rsid w:val="0AF13704"/>
    <w:rsid w:val="0AF929C4"/>
    <w:rsid w:val="0B1F1917"/>
    <w:rsid w:val="0B6D627E"/>
    <w:rsid w:val="0B7C70D1"/>
    <w:rsid w:val="0BA00FE6"/>
    <w:rsid w:val="0BBC4AEA"/>
    <w:rsid w:val="0BBF354D"/>
    <w:rsid w:val="0C147E05"/>
    <w:rsid w:val="0C337593"/>
    <w:rsid w:val="0C365A4B"/>
    <w:rsid w:val="0C540401"/>
    <w:rsid w:val="0C8E6DCF"/>
    <w:rsid w:val="0CD10333"/>
    <w:rsid w:val="0CF3634C"/>
    <w:rsid w:val="0D5E02B5"/>
    <w:rsid w:val="0E7A2CD0"/>
    <w:rsid w:val="0F03573D"/>
    <w:rsid w:val="0FFE48AE"/>
    <w:rsid w:val="102E2D11"/>
    <w:rsid w:val="10360A28"/>
    <w:rsid w:val="10405BB3"/>
    <w:rsid w:val="105F6B60"/>
    <w:rsid w:val="1077047A"/>
    <w:rsid w:val="10D72A49"/>
    <w:rsid w:val="112F4957"/>
    <w:rsid w:val="116A7A90"/>
    <w:rsid w:val="11794537"/>
    <w:rsid w:val="117D632E"/>
    <w:rsid w:val="118F4FEE"/>
    <w:rsid w:val="1194418C"/>
    <w:rsid w:val="11AD442D"/>
    <w:rsid w:val="11CF0C5D"/>
    <w:rsid w:val="11E57A56"/>
    <w:rsid w:val="126C141B"/>
    <w:rsid w:val="12DC6057"/>
    <w:rsid w:val="12F14441"/>
    <w:rsid w:val="13444297"/>
    <w:rsid w:val="13C9050F"/>
    <w:rsid w:val="13F26C5D"/>
    <w:rsid w:val="14334558"/>
    <w:rsid w:val="143D4593"/>
    <w:rsid w:val="14453750"/>
    <w:rsid w:val="146D0377"/>
    <w:rsid w:val="14A502D8"/>
    <w:rsid w:val="15214234"/>
    <w:rsid w:val="155659B5"/>
    <w:rsid w:val="158A0D1E"/>
    <w:rsid w:val="16376FDD"/>
    <w:rsid w:val="165033D4"/>
    <w:rsid w:val="16D75882"/>
    <w:rsid w:val="176002A6"/>
    <w:rsid w:val="17776EBC"/>
    <w:rsid w:val="17A532D2"/>
    <w:rsid w:val="182738FA"/>
    <w:rsid w:val="185C289B"/>
    <w:rsid w:val="1888162C"/>
    <w:rsid w:val="190D1FAC"/>
    <w:rsid w:val="19374423"/>
    <w:rsid w:val="19553A9D"/>
    <w:rsid w:val="19852755"/>
    <w:rsid w:val="199054E1"/>
    <w:rsid w:val="19A224B8"/>
    <w:rsid w:val="1A6361D9"/>
    <w:rsid w:val="1A742CA5"/>
    <w:rsid w:val="1A924A8E"/>
    <w:rsid w:val="1AA646C4"/>
    <w:rsid w:val="1AB951CB"/>
    <w:rsid w:val="1AC62E2C"/>
    <w:rsid w:val="1AE755DB"/>
    <w:rsid w:val="1AF56E6C"/>
    <w:rsid w:val="1B4D35BA"/>
    <w:rsid w:val="1B523DCA"/>
    <w:rsid w:val="1B923228"/>
    <w:rsid w:val="1C2104DF"/>
    <w:rsid w:val="1C336C91"/>
    <w:rsid w:val="1C7B1013"/>
    <w:rsid w:val="1C9741FD"/>
    <w:rsid w:val="1CAD6E2D"/>
    <w:rsid w:val="1D140603"/>
    <w:rsid w:val="1DB00270"/>
    <w:rsid w:val="1E2F0F04"/>
    <w:rsid w:val="1E5E68FF"/>
    <w:rsid w:val="1E606264"/>
    <w:rsid w:val="1E9E585B"/>
    <w:rsid w:val="1EA50964"/>
    <w:rsid w:val="1F831BB7"/>
    <w:rsid w:val="1FB97027"/>
    <w:rsid w:val="205F1340"/>
    <w:rsid w:val="208B5B22"/>
    <w:rsid w:val="20B32870"/>
    <w:rsid w:val="20CA3F04"/>
    <w:rsid w:val="20ED2F0B"/>
    <w:rsid w:val="21202500"/>
    <w:rsid w:val="21243EFD"/>
    <w:rsid w:val="215D78FE"/>
    <w:rsid w:val="21691AE1"/>
    <w:rsid w:val="21775CF7"/>
    <w:rsid w:val="219D7834"/>
    <w:rsid w:val="21AE539B"/>
    <w:rsid w:val="21E44D76"/>
    <w:rsid w:val="22121F7E"/>
    <w:rsid w:val="22423BEE"/>
    <w:rsid w:val="226E4D3C"/>
    <w:rsid w:val="22837A54"/>
    <w:rsid w:val="228E5A2A"/>
    <w:rsid w:val="22BD238C"/>
    <w:rsid w:val="23143672"/>
    <w:rsid w:val="2318021B"/>
    <w:rsid w:val="234C41D7"/>
    <w:rsid w:val="23BB0526"/>
    <w:rsid w:val="244C55AE"/>
    <w:rsid w:val="24962682"/>
    <w:rsid w:val="24D814B4"/>
    <w:rsid w:val="250613CB"/>
    <w:rsid w:val="252F004C"/>
    <w:rsid w:val="256B75D1"/>
    <w:rsid w:val="25EC79D4"/>
    <w:rsid w:val="2606404C"/>
    <w:rsid w:val="26523492"/>
    <w:rsid w:val="2671594E"/>
    <w:rsid w:val="268F44F5"/>
    <w:rsid w:val="26930F53"/>
    <w:rsid w:val="26947B5D"/>
    <w:rsid w:val="26E228C0"/>
    <w:rsid w:val="26E77CFE"/>
    <w:rsid w:val="26FF40A3"/>
    <w:rsid w:val="27590244"/>
    <w:rsid w:val="276578EF"/>
    <w:rsid w:val="27F70C80"/>
    <w:rsid w:val="2814104E"/>
    <w:rsid w:val="28320E07"/>
    <w:rsid w:val="28442E2D"/>
    <w:rsid w:val="285649A6"/>
    <w:rsid w:val="28837D55"/>
    <w:rsid w:val="288E6799"/>
    <w:rsid w:val="28B93834"/>
    <w:rsid w:val="291C407C"/>
    <w:rsid w:val="29203771"/>
    <w:rsid w:val="29893F08"/>
    <w:rsid w:val="29A25200"/>
    <w:rsid w:val="29E00937"/>
    <w:rsid w:val="29E7247C"/>
    <w:rsid w:val="2A232E33"/>
    <w:rsid w:val="2A44695D"/>
    <w:rsid w:val="2AAD340B"/>
    <w:rsid w:val="2B5F0E11"/>
    <w:rsid w:val="2BE24154"/>
    <w:rsid w:val="2BEA0A3C"/>
    <w:rsid w:val="2C897032"/>
    <w:rsid w:val="2CA825DB"/>
    <w:rsid w:val="2D780631"/>
    <w:rsid w:val="2D7B53D3"/>
    <w:rsid w:val="2D801D91"/>
    <w:rsid w:val="2DCB6DCB"/>
    <w:rsid w:val="2DDA7AF5"/>
    <w:rsid w:val="2DDC694B"/>
    <w:rsid w:val="2E0909C3"/>
    <w:rsid w:val="2E0A05D2"/>
    <w:rsid w:val="2E2C4A2D"/>
    <w:rsid w:val="2E3D4504"/>
    <w:rsid w:val="2E88535D"/>
    <w:rsid w:val="2E935292"/>
    <w:rsid w:val="2EC03F0B"/>
    <w:rsid w:val="2EF00D73"/>
    <w:rsid w:val="2F064E5E"/>
    <w:rsid w:val="2F065DAF"/>
    <w:rsid w:val="2F362177"/>
    <w:rsid w:val="2F477FBB"/>
    <w:rsid w:val="2FDA0852"/>
    <w:rsid w:val="30A47B90"/>
    <w:rsid w:val="30D10F08"/>
    <w:rsid w:val="311643CE"/>
    <w:rsid w:val="315C5D12"/>
    <w:rsid w:val="317A39CC"/>
    <w:rsid w:val="324E5D97"/>
    <w:rsid w:val="3261624A"/>
    <w:rsid w:val="32E159D6"/>
    <w:rsid w:val="336D1175"/>
    <w:rsid w:val="338B7508"/>
    <w:rsid w:val="33E01BB2"/>
    <w:rsid w:val="33E94BD8"/>
    <w:rsid w:val="33FC15D1"/>
    <w:rsid w:val="340F0737"/>
    <w:rsid w:val="34181E31"/>
    <w:rsid w:val="3457717E"/>
    <w:rsid w:val="345B07AD"/>
    <w:rsid w:val="347D0965"/>
    <w:rsid w:val="35706220"/>
    <w:rsid w:val="35826943"/>
    <w:rsid w:val="36397704"/>
    <w:rsid w:val="37381C94"/>
    <w:rsid w:val="37CD5818"/>
    <w:rsid w:val="38225026"/>
    <w:rsid w:val="383F6132"/>
    <w:rsid w:val="38411E41"/>
    <w:rsid w:val="384639DC"/>
    <w:rsid w:val="384766E2"/>
    <w:rsid w:val="38763C2E"/>
    <w:rsid w:val="38B048CB"/>
    <w:rsid w:val="391223B0"/>
    <w:rsid w:val="391B230B"/>
    <w:rsid w:val="395F550C"/>
    <w:rsid w:val="39633FFD"/>
    <w:rsid w:val="399B0029"/>
    <w:rsid w:val="39A31272"/>
    <w:rsid w:val="39F35FE5"/>
    <w:rsid w:val="3A152B84"/>
    <w:rsid w:val="3A901D39"/>
    <w:rsid w:val="3AB22CD2"/>
    <w:rsid w:val="3AB87F20"/>
    <w:rsid w:val="3ABE3914"/>
    <w:rsid w:val="3AD05F86"/>
    <w:rsid w:val="3B2E17CF"/>
    <w:rsid w:val="3B416248"/>
    <w:rsid w:val="3B4E2D99"/>
    <w:rsid w:val="3B565FF1"/>
    <w:rsid w:val="3B694935"/>
    <w:rsid w:val="3B7F1AF9"/>
    <w:rsid w:val="3B96290A"/>
    <w:rsid w:val="3BCC0278"/>
    <w:rsid w:val="3BF07AFD"/>
    <w:rsid w:val="3BF43C42"/>
    <w:rsid w:val="3C481E46"/>
    <w:rsid w:val="3CF3238D"/>
    <w:rsid w:val="3DB71F59"/>
    <w:rsid w:val="3DDC5321"/>
    <w:rsid w:val="3DF575C9"/>
    <w:rsid w:val="3E0F0B28"/>
    <w:rsid w:val="3E143A23"/>
    <w:rsid w:val="3E1E1AF9"/>
    <w:rsid w:val="3E522EFC"/>
    <w:rsid w:val="3E71709E"/>
    <w:rsid w:val="3E8258E6"/>
    <w:rsid w:val="3E8F31C3"/>
    <w:rsid w:val="3ED67391"/>
    <w:rsid w:val="3ED734A6"/>
    <w:rsid w:val="3F166F2F"/>
    <w:rsid w:val="3F481CE0"/>
    <w:rsid w:val="3FA21C75"/>
    <w:rsid w:val="3FA579D5"/>
    <w:rsid w:val="3FC92C03"/>
    <w:rsid w:val="3FD87226"/>
    <w:rsid w:val="3FF1296F"/>
    <w:rsid w:val="3FFC4C84"/>
    <w:rsid w:val="3FFD74A4"/>
    <w:rsid w:val="4019742D"/>
    <w:rsid w:val="40253920"/>
    <w:rsid w:val="40557798"/>
    <w:rsid w:val="40694322"/>
    <w:rsid w:val="406C1EFC"/>
    <w:rsid w:val="407B6A97"/>
    <w:rsid w:val="40C642DD"/>
    <w:rsid w:val="40E33248"/>
    <w:rsid w:val="40E43E73"/>
    <w:rsid w:val="41472947"/>
    <w:rsid w:val="414A554C"/>
    <w:rsid w:val="41F96C37"/>
    <w:rsid w:val="420C1CA1"/>
    <w:rsid w:val="42725F91"/>
    <w:rsid w:val="42C34D15"/>
    <w:rsid w:val="42D416E2"/>
    <w:rsid w:val="430078BD"/>
    <w:rsid w:val="43515E84"/>
    <w:rsid w:val="43A840DD"/>
    <w:rsid w:val="43D479FA"/>
    <w:rsid w:val="44062CB7"/>
    <w:rsid w:val="440E792C"/>
    <w:rsid w:val="44306940"/>
    <w:rsid w:val="44CE6D61"/>
    <w:rsid w:val="44D02D76"/>
    <w:rsid w:val="44D35883"/>
    <w:rsid w:val="44FA1A13"/>
    <w:rsid w:val="44FF683E"/>
    <w:rsid w:val="45474A40"/>
    <w:rsid w:val="45793F65"/>
    <w:rsid w:val="45965AB8"/>
    <w:rsid w:val="45AE4DDC"/>
    <w:rsid w:val="45B628D5"/>
    <w:rsid w:val="45E1320F"/>
    <w:rsid w:val="460F3CF2"/>
    <w:rsid w:val="46184D8C"/>
    <w:rsid w:val="46281BFC"/>
    <w:rsid w:val="46735216"/>
    <w:rsid w:val="468E69A0"/>
    <w:rsid w:val="46FA3181"/>
    <w:rsid w:val="470502CB"/>
    <w:rsid w:val="47415D6D"/>
    <w:rsid w:val="478F7A76"/>
    <w:rsid w:val="48090B2B"/>
    <w:rsid w:val="4809774F"/>
    <w:rsid w:val="481102C5"/>
    <w:rsid w:val="4840488B"/>
    <w:rsid w:val="48544659"/>
    <w:rsid w:val="48861AE1"/>
    <w:rsid w:val="488C1C14"/>
    <w:rsid w:val="48A60D9C"/>
    <w:rsid w:val="48AD5715"/>
    <w:rsid w:val="48B01E35"/>
    <w:rsid w:val="48D42661"/>
    <w:rsid w:val="48DB7B1A"/>
    <w:rsid w:val="48DE2B21"/>
    <w:rsid w:val="4910062D"/>
    <w:rsid w:val="492A2F73"/>
    <w:rsid w:val="497323BE"/>
    <w:rsid w:val="49B10592"/>
    <w:rsid w:val="4A135DF5"/>
    <w:rsid w:val="4A575937"/>
    <w:rsid w:val="4B0C4E3B"/>
    <w:rsid w:val="4B0C4F51"/>
    <w:rsid w:val="4B2850E8"/>
    <w:rsid w:val="4B492FC5"/>
    <w:rsid w:val="4C8B41FC"/>
    <w:rsid w:val="4C8E2058"/>
    <w:rsid w:val="4CB03272"/>
    <w:rsid w:val="4D7F3DC5"/>
    <w:rsid w:val="4DAC001F"/>
    <w:rsid w:val="4DCD0DE7"/>
    <w:rsid w:val="4DCD5BD6"/>
    <w:rsid w:val="4DEC2203"/>
    <w:rsid w:val="4E3C5980"/>
    <w:rsid w:val="4EA80D7A"/>
    <w:rsid w:val="4EAE1A48"/>
    <w:rsid w:val="4ECE2749"/>
    <w:rsid w:val="4EDF7D2E"/>
    <w:rsid w:val="4F7E45FC"/>
    <w:rsid w:val="4FCC1733"/>
    <w:rsid w:val="503E1A69"/>
    <w:rsid w:val="504E3AD9"/>
    <w:rsid w:val="50527440"/>
    <w:rsid w:val="505C7B57"/>
    <w:rsid w:val="50CB1FA8"/>
    <w:rsid w:val="50E2478C"/>
    <w:rsid w:val="517B05B7"/>
    <w:rsid w:val="519B541B"/>
    <w:rsid w:val="522955BA"/>
    <w:rsid w:val="524B17FC"/>
    <w:rsid w:val="528901D2"/>
    <w:rsid w:val="52B54C41"/>
    <w:rsid w:val="52CA603A"/>
    <w:rsid w:val="52DF5A85"/>
    <w:rsid w:val="52FF0706"/>
    <w:rsid w:val="53357D21"/>
    <w:rsid w:val="5348179F"/>
    <w:rsid w:val="54546941"/>
    <w:rsid w:val="547264B7"/>
    <w:rsid w:val="54AE095A"/>
    <w:rsid w:val="54B6414E"/>
    <w:rsid w:val="54CA6DEF"/>
    <w:rsid w:val="553D7FDA"/>
    <w:rsid w:val="55624F56"/>
    <w:rsid w:val="556B71BE"/>
    <w:rsid w:val="55945F73"/>
    <w:rsid w:val="55A31F7D"/>
    <w:rsid w:val="560219CE"/>
    <w:rsid w:val="56462718"/>
    <w:rsid w:val="567E32AC"/>
    <w:rsid w:val="569174F0"/>
    <w:rsid w:val="569230C1"/>
    <w:rsid w:val="56936512"/>
    <w:rsid w:val="56A8636F"/>
    <w:rsid w:val="56B76E07"/>
    <w:rsid w:val="56D668BF"/>
    <w:rsid w:val="56F0042E"/>
    <w:rsid w:val="56FA33E5"/>
    <w:rsid w:val="574D6188"/>
    <w:rsid w:val="579C595B"/>
    <w:rsid w:val="580204EC"/>
    <w:rsid w:val="5807393B"/>
    <w:rsid w:val="58220841"/>
    <w:rsid w:val="58711906"/>
    <w:rsid w:val="588B73B8"/>
    <w:rsid w:val="58C43744"/>
    <w:rsid w:val="58C72436"/>
    <w:rsid w:val="590E76F8"/>
    <w:rsid w:val="59AC592E"/>
    <w:rsid w:val="59BB5A43"/>
    <w:rsid w:val="59E76745"/>
    <w:rsid w:val="5A7E19B8"/>
    <w:rsid w:val="5A9F2079"/>
    <w:rsid w:val="5B3976CC"/>
    <w:rsid w:val="5B4E7A47"/>
    <w:rsid w:val="5C556E97"/>
    <w:rsid w:val="5CA952FC"/>
    <w:rsid w:val="5CDB4EC7"/>
    <w:rsid w:val="5CE3527E"/>
    <w:rsid w:val="5D2F0E1A"/>
    <w:rsid w:val="5D394685"/>
    <w:rsid w:val="5D3F25BA"/>
    <w:rsid w:val="5DAD70C5"/>
    <w:rsid w:val="5DE622A4"/>
    <w:rsid w:val="5E3A6227"/>
    <w:rsid w:val="5E884F42"/>
    <w:rsid w:val="5E9E26C8"/>
    <w:rsid w:val="5EBB77E4"/>
    <w:rsid w:val="5EE00BB3"/>
    <w:rsid w:val="5EFC1113"/>
    <w:rsid w:val="5F224DE8"/>
    <w:rsid w:val="5F291AD4"/>
    <w:rsid w:val="5F36520E"/>
    <w:rsid w:val="5FEB19E8"/>
    <w:rsid w:val="60037A11"/>
    <w:rsid w:val="60095A94"/>
    <w:rsid w:val="608C016B"/>
    <w:rsid w:val="609A3E91"/>
    <w:rsid w:val="60C23214"/>
    <w:rsid w:val="61051EC4"/>
    <w:rsid w:val="614B670E"/>
    <w:rsid w:val="617F2E87"/>
    <w:rsid w:val="620645FA"/>
    <w:rsid w:val="62D8555D"/>
    <w:rsid w:val="62F048FC"/>
    <w:rsid w:val="63216962"/>
    <w:rsid w:val="635B1C98"/>
    <w:rsid w:val="637040E5"/>
    <w:rsid w:val="63716F7F"/>
    <w:rsid w:val="63822FCF"/>
    <w:rsid w:val="63C55EBE"/>
    <w:rsid w:val="63CB2A78"/>
    <w:rsid w:val="6440105A"/>
    <w:rsid w:val="646E41AE"/>
    <w:rsid w:val="648F0185"/>
    <w:rsid w:val="655E3AC1"/>
    <w:rsid w:val="6569278A"/>
    <w:rsid w:val="65FC5CA2"/>
    <w:rsid w:val="66085038"/>
    <w:rsid w:val="667831EA"/>
    <w:rsid w:val="667C15F3"/>
    <w:rsid w:val="667F446D"/>
    <w:rsid w:val="66DD1210"/>
    <w:rsid w:val="673A09E8"/>
    <w:rsid w:val="67904436"/>
    <w:rsid w:val="67984605"/>
    <w:rsid w:val="68443BDF"/>
    <w:rsid w:val="6897640B"/>
    <w:rsid w:val="68C152B3"/>
    <w:rsid w:val="69287A8A"/>
    <w:rsid w:val="697F7BB1"/>
    <w:rsid w:val="69F908EC"/>
    <w:rsid w:val="6A8454DE"/>
    <w:rsid w:val="6A851457"/>
    <w:rsid w:val="6A9C11F2"/>
    <w:rsid w:val="6AD13921"/>
    <w:rsid w:val="6AD43D35"/>
    <w:rsid w:val="6AFE6754"/>
    <w:rsid w:val="6B1B725D"/>
    <w:rsid w:val="6B264182"/>
    <w:rsid w:val="6B415FEB"/>
    <w:rsid w:val="6B6339C1"/>
    <w:rsid w:val="6C2E7A94"/>
    <w:rsid w:val="6D982AD8"/>
    <w:rsid w:val="6D9F19E7"/>
    <w:rsid w:val="6DF10E36"/>
    <w:rsid w:val="6E342335"/>
    <w:rsid w:val="6E4111F0"/>
    <w:rsid w:val="6E4A6A1C"/>
    <w:rsid w:val="6E713F3E"/>
    <w:rsid w:val="6EB766A8"/>
    <w:rsid w:val="6EC82EA0"/>
    <w:rsid w:val="6F13153A"/>
    <w:rsid w:val="6F3962D5"/>
    <w:rsid w:val="6F4847FC"/>
    <w:rsid w:val="6F9B5FA9"/>
    <w:rsid w:val="6FA95075"/>
    <w:rsid w:val="6FB670D1"/>
    <w:rsid w:val="6FF15221"/>
    <w:rsid w:val="700F18CD"/>
    <w:rsid w:val="70324DE0"/>
    <w:rsid w:val="70353372"/>
    <w:rsid w:val="707131B2"/>
    <w:rsid w:val="707A2FF4"/>
    <w:rsid w:val="707C6DC9"/>
    <w:rsid w:val="71181AB0"/>
    <w:rsid w:val="715530F7"/>
    <w:rsid w:val="715C153B"/>
    <w:rsid w:val="71CC4A50"/>
    <w:rsid w:val="71FD04C5"/>
    <w:rsid w:val="720E636A"/>
    <w:rsid w:val="72223E96"/>
    <w:rsid w:val="724D7088"/>
    <w:rsid w:val="729F1503"/>
    <w:rsid w:val="72CA035F"/>
    <w:rsid w:val="72E76936"/>
    <w:rsid w:val="73876495"/>
    <w:rsid w:val="73F20B42"/>
    <w:rsid w:val="741466F0"/>
    <w:rsid w:val="749B0247"/>
    <w:rsid w:val="74B836DE"/>
    <w:rsid w:val="74C002A0"/>
    <w:rsid w:val="751C6EA5"/>
    <w:rsid w:val="7599117B"/>
    <w:rsid w:val="75AF379C"/>
    <w:rsid w:val="75FB76D6"/>
    <w:rsid w:val="765E6B38"/>
    <w:rsid w:val="767D5370"/>
    <w:rsid w:val="76885570"/>
    <w:rsid w:val="76B3633A"/>
    <w:rsid w:val="76BF2E2A"/>
    <w:rsid w:val="770770BF"/>
    <w:rsid w:val="77883EB3"/>
    <w:rsid w:val="77A3182C"/>
    <w:rsid w:val="77F14472"/>
    <w:rsid w:val="77F505AB"/>
    <w:rsid w:val="787551E3"/>
    <w:rsid w:val="788D6A4C"/>
    <w:rsid w:val="789F5D4C"/>
    <w:rsid w:val="791C2749"/>
    <w:rsid w:val="792F7994"/>
    <w:rsid w:val="79586179"/>
    <w:rsid w:val="79753788"/>
    <w:rsid w:val="798251F2"/>
    <w:rsid w:val="79D931CB"/>
    <w:rsid w:val="7A4B2BA2"/>
    <w:rsid w:val="7B123F8F"/>
    <w:rsid w:val="7B1928CE"/>
    <w:rsid w:val="7B2928FA"/>
    <w:rsid w:val="7B464880"/>
    <w:rsid w:val="7B641114"/>
    <w:rsid w:val="7B967BC4"/>
    <w:rsid w:val="7BAF5B7A"/>
    <w:rsid w:val="7BD716B0"/>
    <w:rsid w:val="7BE1665C"/>
    <w:rsid w:val="7C1A7EDF"/>
    <w:rsid w:val="7C214BB4"/>
    <w:rsid w:val="7C600513"/>
    <w:rsid w:val="7C734751"/>
    <w:rsid w:val="7C8628C0"/>
    <w:rsid w:val="7CB17F72"/>
    <w:rsid w:val="7CE3570A"/>
    <w:rsid w:val="7D272FE3"/>
    <w:rsid w:val="7D745C01"/>
    <w:rsid w:val="7D7E3277"/>
    <w:rsid w:val="7D8260E7"/>
    <w:rsid w:val="7DD27897"/>
    <w:rsid w:val="7DEE177F"/>
    <w:rsid w:val="7E31415A"/>
    <w:rsid w:val="7EB16167"/>
    <w:rsid w:val="7F1E008A"/>
    <w:rsid w:val="7F4853E1"/>
    <w:rsid w:val="7F54417B"/>
    <w:rsid w:val="7F7612FF"/>
    <w:rsid w:val="7F9E6BA1"/>
    <w:rsid w:val="7FB66C12"/>
    <w:rsid w:val="7FC6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ascii="宋体" w:hAnsi="宋体"/>
      <w:b/>
      <w:bCs/>
      <w:kern w:val="0"/>
      <w:sz w:val="27"/>
      <w:szCs w:val="27"/>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rPr>
      <w:sz w:val="24"/>
    </w:rPr>
  </w:style>
  <w:style w:type="character" w:styleId="7">
    <w:name w:val="Strong"/>
    <w:basedOn w:val="6"/>
    <w:qFormat/>
    <w:uiPriority w:val="0"/>
    <w:rPr>
      <w:b/>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Pages>
  <Words>0</Words>
  <Characters>0</Characters>
  <Lines>0</Lines>
  <Paragraphs>0</Paragraphs>
  <TotalTime>24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2022-03-18T08:07:00Z</dcterms:created>
  <dc:creator>海盐</dc:creator>
  <cp:lastModifiedBy>℡疯▼子◥</cp:lastModifiedBy>
  <dcterms:modified xsi:type="dcterms:W3CDTF">2024-06-17T01:44:16Z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EC42BF807A7C498FA5FD511DC362F760</vt:lpwstr>
  </property>
</Properties>
</file>